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大田县2023年高校毕业生服务社区量化评分表</w:t>
      </w:r>
      <w:bookmarkEnd w:id="0"/>
    </w:p>
    <w:p>
      <w:pPr>
        <w:rPr>
          <w:rFonts w:hint="eastAsia" w:ascii="仿宋" w:hAnsi="仿宋" w:eastAsia="仿宋" w:cs="仿宋"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姓名：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u w:val="single"/>
          <w:lang w:eastAsia="zh-CN"/>
        </w:rPr>
        <w:t>　　　　　　　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u w:val="none"/>
          <w:lang w:val="en-US" w:eastAsia="zh-CN"/>
        </w:rPr>
        <w:t xml:space="preserve">         报名社区：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u w:val="single"/>
          <w:lang w:val="en-US" w:eastAsia="zh-CN"/>
        </w:rPr>
        <w:t xml:space="preserve">                 </w:t>
      </w:r>
    </w:p>
    <w:tbl>
      <w:tblPr>
        <w:tblStyle w:val="4"/>
        <w:tblpPr w:leftFromText="180" w:rightFromText="180" w:vertAnchor="text" w:horzAnchor="page" w:tblpX="1665" w:tblpY="484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00"/>
        <w:gridCol w:w="2020"/>
        <w:gridCol w:w="2420"/>
        <w:gridCol w:w="75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项目指标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eastAsia="zh-CN"/>
              </w:rPr>
              <w:t>分值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内     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27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本科及以上学历27分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大专25分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社会工作专业5分</w:t>
            </w: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不累加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助理社工师3分、社工师5分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困难家庭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低保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（特困供养）对象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就高不累加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z w:val="24"/>
                <w:szCs w:val="24"/>
                <w:lang w:val="en-US" w:eastAsia="zh-CN"/>
              </w:rPr>
              <w:t>本县建档立卡的贫困人口10分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在校期间已申请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国家助学贷款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就业困难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往届未就业毕业生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可累加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本社区户籍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获得优秀学生干部、三好学生、优秀毕业生荣誉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1、省部级及以上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0分</w:t>
            </w: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就高不累加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市级（含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校级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院（系）级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1、中共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正式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中共预备党员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3、共青团员4分</w:t>
            </w: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少数民族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少数民族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退役军人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退役大学生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残疾人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残疾大学生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本人对此量化最终得分无异议。　　　　　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r>
        <w:rPr>
          <w:rFonts w:hint="eastAsia" w:ascii="仿宋" w:hAnsi="仿宋" w:eastAsia="仿宋" w:cs="仿宋"/>
          <w:sz w:val="28"/>
          <w:szCs w:val="28"/>
          <w:lang w:eastAsia="zh-CN"/>
        </w:rPr>
        <w:t>考核人员：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2023年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A5E0C2B"/>
    <w:rsid w:val="8A5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2023-05-09T16:03:00Z</dcterms:created>
  <dc:creator>user</dc:creator>
  <cp:lastModifiedBy>user</cp:lastModifiedBy>
  <dcterms:modified xsi:type="dcterms:W3CDTF">2023-05-09T16:04:11Z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