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jc w:val="center"/>
        <w:textAlignment w:val="auto"/>
        <w:outlineLvl w:val="0"/>
        <w:rPr>
          <w:rFonts w:hint="eastAsia" w:ascii="方正小标宋简体" w:hAnsi="方正小标宋简体" w:eastAsia="方正小标宋简体" w:cs="方正小标宋简体"/>
          <w:b w:val="0"/>
          <w:bCs w:val="0"/>
          <w:color w:val="000000"/>
          <w:kern w:val="44"/>
          <w:sz w:val="48"/>
          <w:szCs w:val="48"/>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jc w:val="center"/>
        <w:textAlignment w:val="auto"/>
        <w:outlineLvl w:val="0"/>
        <w:rPr>
          <w:rFonts w:hint="eastAsia" w:ascii="方正小标宋简体" w:hAnsi="方正小标宋简体" w:eastAsia="方正小标宋简体" w:cs="方正小标宋简体"/>
          <w:b w:val="0"/>
          <w:bCs w:val="0"/>
          <w:color w:val="000000"/>
          <w:kern w:val="44"/>
          <w:sz w:val="48"/>
          <w:szCs w:val="48"/>
          <w:lang w:val="en-US" w:eastAsia="zh-CN" w:bidi="ar"/>
        </w:rPr>
      </w:pPr>
      <w:r>
        <w:rPr>
          <w:rFonts w:hint="eastAsia" w:ascii="方正小标宋简体" w:hAnsi="方正小标宋简体" w:eastAsia="方正小标宋简体" w:cs="方正小标宋简体"/>
          <w:b w:val="0"/>
          <w:bCs w:val="0"/>
          <w:color w:val="000000"/>
          <w:kern w:val="44"/>
          <w:sz w:val="48"/>
          <w:szCs w:val="48"/>
          <w:lang w:val="en-US" w:eastAsia="zh-CN" w:bidi="ar"/>
        </w:rPr>
        <w:t>三明市关于深化康复辅助器具产业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jc w:val="center"/>
        <w:textAlignment w:val="auto"/>
        <w:outlineLvl w:val="0"/>
        <w:rPr>
          <w:rFonts w:hint="eastAsia" w:ascii="方正小标宋简体" w:hAnsi="方正小标宋简体" w:eastAsia="方正小标宋简体" w:cs="方正小标宋简体"/>
          <w:b w:val="0"/>
          <w:bCs w:val="0"/>
          <w:color w:val="000000"/>
          <w:kern w:val="44"/>
          <w:sz w:val="48"/>
          <w:szCs w:val="48"/>
          <w:lang w:val="en-US" w:eastAsia="zh-CN" w:bidi="ar"/>
        </w:rPr>
      </w:pPr>
      <w:r>
        <w:rPr>
          <w:rFonts w:hint="eastAsia" w:ascii="方正小标宋简体" w:hAnsi="方正小标宋简体" w:eastAsia="方正小标宋简体" w:cs="方正小标宋简体"/>
          <w:b w:val="0"/>
          <w:bCs w:val="0"/>
          <w:color w:val="000000"/>
          <w:kern w:val="44"/>
          <w:sz w:val="48"/>
          <w:szCs w:val="48"/>
          <w:lang w:val="en-US" w:eastAsia="zh-CN" w:bidi="ar"/>
        </w:rPr>
        <w:t>国家综合创新试点推动康复辅助器具产业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jc w:val="center"/>
        <w:textAlignment w:val="auto"/>
        <w:outlineLvl w:val="0"/>
        <w:rPr>
          <w:rFonts w:hint="eastAsia" w:ascii="方正小标宋简体" w:hAnsi="方正小标宋简体" w:eastAsia="方正小标宋简体" w:cs="方正小标宋简体"/>
          <w:b w:val="0"/>
          <w:bCs w:val="0"/>
          <w:color w:val="000000"/>
          <w:kern w:val="44"/>
          <w:sz w:val="48"/>
          <w:szCs w:val="48"/>
          <w:lang w:val="en-US" w:eastAsia="zh-CN" w:bidi="ar"/>
        </w:rPr>
      </w:pPr>
      <w:r>
        <w:rPr>
          <w:rFonts w:hint="eastAsia" w:ascii="方正小标宋简体" w:hAnsi="方正小标宋简体" w:eastAsia="方正小标宋简体" w:cs="方正小标宋简体"/>
          <w:b w:val="0"/>
          <w:bCs w:val="0"/>
          <w:color w:val="000000"/>
          <w:kern w:val="44"/>
          <w:sz w:val="48"/>
          <w:szCs w:val="48"/>
          <w:lang w:val="en-US" w:eastAsia="zh-CN" w:bidi="ar"/>
        </w:rPr>
        <w:t>高质量发展的意见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楷体_GB2312" w:hAnsi="楷体_GB2312" w:eastAsia="楷体_GB2312" w:cs="楷体_GB2312"/>
          <w:b w:val="0"/>
          <w:bCs w:val="0"/>
          <w:color w:val="000000"/>
          <w:kern w:val="0"/>
          <w:sz w:val="36"/>
          <w:szCs w:val="36"/>
          <w:lang w:val="en-US" w:eastAsia="zh-CN" w:bidi="ar"/>
        </w:rPr>
      </w:pPr>
      <w:r>
        <w:rPr>
          <w:rFonts w:hint="eastAsia" w:ascii="楷体_GB2312" w:hAnsi="楷体_GB2312" w:eastAsia="楷体_GB2312" w:cs="楷体_GB2312"/>
          <w:b w:val="0"/>
          <w:bCs w:val="0"/>
          <w:color w:val="000000"/>
          <w:kern w:val="0"/>
          <w:sz w:val="36"/>
          <w:szCs w:val="36"/>
          <w:lang w:val="en-US" w:eastAsia="zh-CN" w:bidi="ar"/>
        </w:rPr>
        <w:t>（</w:t>
      </w:r>
      <w:r>
        <w:rPr>
          <w:rFonts w:hint="eastAsia" w:ascii="楷体_GB2312" w:hAnsi="楷体_GB2312" w:eastAsia="楷体_GB2312" w:cs="楷体_GB2312"/>
          <w:b w:val="0"/>
          <w:bCs w:val="0"/>
          <w:color w:val="auto"/>
          <w:spacing w:val="-6"/>
          <w:sz w:val="36"/>
          <w:szCs w:val="36"/>
          <w:u w:val="none"/>
          <w:lang w:val="en-US" w:eastAsia="zh-CN"/>
        </w:rPr>
        <w:t>2026年8月，征求意见稿</w:t>
      </w:r>
      <w:r>
        <w:rPr>
          <w:rFonts w:hint="eastAsia" w:ascii="楷体_GB2312" w:hAnsi="楷体_GB2312" w:eastAsia="楷体_GB2312" w:cs="楷体_GB2312"/>
          <w:b w:val="0"/>
          <w:bCs w:val="0"/>
          <w:color w:val="000000"/>
          <w:kern w:val="0"/>
          <w:sz w:val="36"/>
          <w:szCs w:val="36"/>
          <w:lang w:val="en-US" w:eastAsia="zh-CN" w:bidi="ar"/>
        </w:rPr>
        <w:t>）</w:t>
      </w:r>
    </w:p>
    <w:p>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eastAsia" w:ascii="仿宋_GB2312" w:hAnsi="仿宋_GB2312" w:eastAsia="仿宋_GB2312" w:cs="仿宋_GB2312"/>
          <w:sz w:val="36"/>
          <w:szCs w:val="36"/>
        </w:rPr>
      </w:pPr>
    </w:p>
    <w:p>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为深入学习贯彻习近平总书记关于老年人、残疾人</w:t>
      </w:r>
      <w:r>
        <w:rPr>
          <w:rFonts w:hint="eastAsia" w:ascii="仿宋_GB2312" w:hAnsi="仿宋_GB2312" w:eastAsia="仿宋_GB2312" w:cs="仿宋_GB2312"/>
          <w:sz w:val="36"/>
          <w:szCs w:val="36"/>
          <w:lang w:eastAsia="zh-CN"/>
        </w:rPr>
        <w:t>工作</w:t>
      </w:r>
      <w:r>
        <w:rPr>
          <w:rFonts w:hint="eastAsia" w:ascii="仿宋_GB2312" w:hAnsi="仿宋_GB2312" w:eastAsia="仿宋_GB2312" w:cs="仿宋_GB2312"/>
          <w:sz w:val="36"/>
          <w:szCs w:val="36"/>
        </w:rPr>
        <w:t>的重要指示精神，全面落实国家《康复辅助器具产业扩能提质三年行动方案（2026-2028年）》</w:t>
      </w:r>
      <w:r>
        <w:rPr>
          <w:rFonts w:hint="eastAsia" w:ascii="仿宋_GB2312" w:hAnsi="仿宋_GB2312" w:eastAsia="仿宋_GB2312" w:cs="仿宋_GB2312"/>
          <w:sz w:val="36"/>
          <w:szCs w:val="36"/>
          <w:lang w:eastAsia="zh-CN"/>
        </w:rPr>
        <w:t>《关于加快推进康复辅助器具推广应用的指导意见》</w:t>
      </w:r>
      <w:r>
        <w:rPr>
          <w:rFonts w:hint="eastAsia" w:ascii="仿宋_GB2312" w:hAnsi="仿宋_GB2312" w:eastAsia="仿宋_GB2312" w:cs="仿宋_GB2312"/>
          <w:sz w:val="36"/>
          <w:szCs w:val="36"/>
        </w:rPr>
        <w:t>及福建省相关工作部署，巩固提升</w:t>
      </w:r>
      <w:r>
        <w:rPr>
          <w:rFonts w:hint="eastAsia" w:ascii="仿宋_GB2312" w:hAnsi="仿宋_GB2312" w:eastAsia="仿宋_GB2312" w:cs="仿宋_GB2312"/>
          <w:sz w:val="36"/>
          <w:szCs w:val="36"/>
          <w:lang w:eastAsia="zh-CN"/>
        </w:rPr>
        <w:t>第二批</w:t>
      </w:r>
      <w:r>
        <w:rPr>
          <w:rFonts w:hint="eastAsia" w:ascii="仿宋_GB2312" w:hAnsi="仿宋_GB2312" w:eastAsia="仿宋_GB2312" w:cs="仿宋_GB2312"/>
          <w:sz w:val="36"/>
          <w:szCs w:val="36"/>
        </w:rPr>
        <w:t>国家康复辅助器具产业综合创新试点成果，立足</w:t>
      </w:r>
      <w:r>
        <w:rPr>
          <w:rFonts w:hint="eastAsia" w:ascii="仿宋_GB2312" w:hAnsi="仿宋_GB2312" w:eastAsia="仿宋_GB2312" w:cs="仿宋_GB2312"/>
          <w:sz w:val="36"/>
          <w:szCs w:val="36"/>
          <w:lang w:eastAsia="zh-CN"/>
        </w:rPr>
        <w:t>三明</w:t>
      </w:r>
      <w:r>
        <w:rPr>
          <w:rFonts w:hint="eastAsia" w:ascii="仿宋_GB2312" w:hAnsi="仿宋_GB2312" w:eastAsia="仿宋_GB2312" w:cs="仿宋_GB2312"/>
          <w:sz w:val="36"/>
          <w:szCs w:val="36"/>
        </w:rPr>
        <w:t>山区区位、产业基础与民生需求，推动康复辅助器具（以下简称“康复辅具”）产业扩能提质、全域升级，助力积极应对人口老龄化</w:t>
      </w:r>
      <w:r>
        <w:rPr>
          <w:rFonts w:hint="eastAsia" w:ascii="仿宋_GB2312" w:hAnsi="仿宋_GB2312" w:eastAsia="仿宋_GB2312" w:cs="仿宋_GB2312"/>
          <w:sz w:val="36"/>
          <w:szCs w:val="36"/>
          <w:lang w:eastAsia="zh-CN"/>
        </w:rPr>
        <w:t>国家战略</w:t>
      </w:r>
      <w:r>
        <w:rPr>
          <w:rFonts w:hint="eastAsia" w:ascii="仿宋_GB2312" w:hAnsi="仿宋_GB2312" w:eastAsia="仿宋_GB2312" w:cs="仿宋_GB2312"/>
          <w:sz w:val="36"/>
          <w:szCs w:val="36"/>
        </w:rPr>
        <w:t>、健康三明建设和残疾人事业高质量发展，制定本意见。</w:t>
      </w:r>
    </w:p>
    <w:p>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eastAsia" w:ascii="黑体" w:hAnsi="黑体" w:eastAsia="黑体" w:cs="黑体"/>
          <w:sz w:val="36"/>
          <w:szCs w:val="36"/>
          <w:lang w:eastAsia="zh-CN"/>
        </w:rPr>
      </w:pPr>
      <w:r>
        <w:rPr>
          <w:rFonts w:hint="eastAsia" w:ascii="黑体" w:hAnsi="黑体" w:eastAsia="黑体" w:cs="黑体"/>
          <w:sz w:val="36"/>
          <w:szCs w:val="36"/>
        </w:rPr>
        <w:t>一、总体</w:t>
      </w:r>
      <w:r>
        <w:rPr>
          <w:rFonts w:hint="eastAsia" w:ascii="黑体" w:hAnsi="黑体" w:eastAsia="黑体" w:cs="黑体"/>
          <w:sz w:val="36"/>
          <w:szCs w:val="36"/>
          <w:lang w:eastAsia="zh-CN"/>
        </w:rPr>
        <w:t>目标</w:t>
      </w:r>
    </w:p>
    <w:p>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eastAsia" w:ascii="仿宋_GB2312" w:hAnsi="仿宋_GB2312" w:eastAsia="仿宋_GB2312" w:cs="仿宋_GB2312"/>
          <w:sz w:val="36"/>
          <w:szCs w:val="36"/>
          <w:highlight w:val="none"/>
        </w:rPr>
      </w:pPr>
      <w:r>
        <w:rPr>
          <w:rFonts w:hint="eastAsia" w:ascii="仿宋_GB2312" w:hAnsi="仿宋_GB2312" w:eastAsia="仿宋_GB2312" w:cs="仿宋_GB2312"/>
          <w:sz w:val="36"/>
          <w:szCs w:val="36"/>
          <w:highlight w:val="none"/>
        </w:rPr>
        <w:t>紧扣新质生产力发展要求，立足三明基层</w:t>
      </w:r>
      <w:r>
        <w:rPr>
          <w:rFonts w:hint="eastAsia" w:ascii="仿宋_GB2312" w:hAnsi="仿宋_GB2312" w:eastAsia="仿宋_GB2312" w:cs="仿宋_GB2312"/>
          <w:sz w:val="36"/>
          <w:szCs w:val="36"/>
          <w:highlight w:val="none"/>
          <w:lang w:eastAsia="zh-CN"/>
        </w:rPr>
        <w:t>康复</w:t>
      </w:r>
      <w:r>
        <w:rPr>
          <w:rFonts w:hint="eastAsia" w:ascii="仿宋_GB2312" w:hAnsi="仿宋_GB2312" w:eastAsia="仿宋_GB2312" w:cs="仿宋_GB2312"/>
          <w:sz w:val="36"/>
          <w:szCs w:val="36"/>
          <w:highlight w:val="none"/>
        </w:rPr>
        <w:t>辅具服务网络优势，以及装备制造、新材料、文旅康养产业基础，坚持创新驱动、场景牵引、普惠融通、产服融合，实现康复辅具服务网络、场景应用、产业基础、创新能力、政策支撑、标准监管六大维度全面跃升，</w:t>
      </w:r>
      <w:r>
        <w:rPr>
          <w:rFonts w:hint="eastAsia" w:ascii="仿宋_GB2312" w:hAnsi="仿宋_GB2312" w:eastAsia="仿宋_GB2312" w:cs="仿宋_GB2312"/>
          <w:sz w:val="36"/>
          <w:szCs w:val="36"/>
          <w:highlight w:val="none"/>
          <w:lang w:eastAsia="zh-CN"/>
        </w:rPr>
        <w:t>构建覆盖城乡、便捷可及、优质高效的康复辅具服务新格局，</w:t>
      </w:r>
      <w:r>
        <w:rPr>
          <w:rFonts w:hint="eastAsia" w:ascii="仿宋_GB2312" w:hAnsi="仿宋_GB2312" w:eastAsia="仿宋_GB2312" w:cs="仿宋_GB2312"/>
          <w:sz w:val="36"/>
          <w:szCs w:val="36"/>
          <w:highlight w:val="none"/>
        </w:rPr>
        <w:t>打造山区康复辅具普惠服务样板</w:t>
      </w:r>
      <w:r>
        <w:rPr>
          <w:rFonts w:hint="eastAsia" w:ascii="仿宋_GB2312" w:hAnsi="仿宋_GB2312" w:eastAsia="仿宋_GB2312" w:cs="仿宋_GB2312"/>
          <w:sz w:val="36"/>
          <w:szCs w:val="36"/>
          <w:highlight w:val="none"/>
          <w:lang w:eastAsia="zh-CN"/>
        </w:rPr>
        <w:t>，力争建成全国山区康复辅具产业发展标杆城市</w:t>
      </w:r>
      <w:r>
        <w:rPr>
          <w:rFonts w:hint="eastAsia" w:ascii="仿宋_GB2312" w:hAnsi="仿宋_GB2312" w:eastAsia="仿宋_GB2312" w:cs="仿宋_GB2312"/>
          <w:sz w:val="36"/>
          <w:szCs w:val="36"/>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eastAsia" w:ascii="仿宋_GB2312" w:hAnsi="仿宋_GB2312" w:eastAsia="仿宋_GB2312" w:cs="仿宋_GB2312"/>
          <w:sz w:val="36"/>
          <w:szCs w:val="36"/>
          <w:highlight w:val="none"/>
        </w:rPr>
      </w:pPr>
      <w:r>
        <w:rPr>
          <w:rFonts w:hint="eastAsia" w:ascii="仿宋_GB2312" w:hAnsi="仿宋_GB2312" w:eastAsia="仿宋_GB2312" w:cs="仿宋_GB2312"/>
          <w:sz w:val="36"/>
          <w:szCs w:val="36"/>
          <w:highlight w:val="none"/>
        </w:rPr>
        <w:t>——市、县级综合服务中心功能全面升级，辅具专业评估、辅具</w:t>
      </w:r>
      <w:r>
        <w:rPr>
          <w:rFonts w:hint="eastAsia" w:ascii="仿宋_GB2312" w:hAnsi="仿宋_GB2312" w:eastAsia="仿宋_GB2312" w:cs="仿宋_GB2312"/>
          <w:sz w:val="36"/>
          <w:szCs w:val="36"/>
          <w:highlight w:val="none"/>
          <w:lang w:eastAsia="zh-CN"/>
        </w:rPr>
        <w:t>配置</w:t>
      </w:r>
      <w:r>
        <w:rPr>
          <w:rFonts w:hint="eastAsia" w:ascii="仿宋_GB2312" w:hAnsi="仿宋_GB2312" w:eastAsia="仿宋_GB2312" w:cs="仿宋_GB2312"/>
          <w:sz w:val="36"/>
          <w:szCs w:val="36"/>
          <w:highlight w:val="none"/>
        </w:rPr>
        <w:t>服务率保持99%以上</w:t>
      </w:r>
      <w:r>
        <w:rPr>
          <w:rFonts w:hint="eastAsia" w:ascii="仿宋_GB2312" w:hAnsi="仿宋_GB2312" w:eastAsia="仿宋_GB2312" w:cs="仿宋_GB2312"/>
          <w:sz w:val="36"/>
          <w:szCs w:val="36"/>
          <w:highlight w:val="none"/>
          <w:lang w:eastAsia="zh-CN"/>
        </w:rPr>
        <w:t>；提升乡镇（街道）康复辅具站点服务覆盖面，</w:t>
      </w:r>
      <w:r>
        <w:rPr>
          <w:rFonts w:hint="eastAsia" w:ascii="仿宋_GB2312" w:hAnsi="仿宋_GB2312" w:eastAsia="仿宋_GB2312" w:cs="仿宋_GB2312"/>
          <w:sz w:val="36"/>
          <w:szCs w:val="36"/>
          <w:highlight w:val="none"/>
        </w:rPr>
        <w:t>社区租赁、回收、维保服务常态化、规范化运行。</w:t>
      </w:r>
    </w:p>
    <w:p>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eastAsia" w:ascii="仿宋_GB2312" w:hAnsi="仿宋_GB2312" w:eastAsia="仿宋_GB2312" w:cs="仿宋_GB2312"/>
          <w:sz w:val="36"/>
          <w:szCs w:val="36"/>
          <w:highlight w:val="none"/>
        </w:rPr>
      </w:pPr>
      <w:r>
        <w:rPr>
          <w:rFonts w:hint="eastAsia" w:ascii="仿宋_GB2312" w:hAnsi="仿宋_GB2312" w:eastAsia="仿宋_GB2312" w:cs="仿宋_GB2312"/>
          <w:sz w:val="36"/>
          <w:szCs w:val="36"/>
          <w:highlight w:val="none"/>
        </w:rPr>
        <w:t>——打造10个市级以上康复辅具示范推广应用场景</w:t>
      </w:r>
      <w:r>
        <w:rPr>
          <w:rFonts w:hint="eastAsia" w:ascii="仿宋_GB2312" w:hAnsi="仿宋_GB2312" w:eastAsia="仿宋_GB2312" w:cs="仿宋_GB2312"/>
          <w:sz w:val="36"/>
          <w:szCs w:val="36"/>
          <w:highlight w:val="none"/>
          <w:lang w:eastAsia="zh-CN"/>
        </w:rPr>
        <w:t>或基地</w:t>
      </w:r>
      <w:r>
        <w:rPr>
          <w:rFonts w:hint="eastAsia" w:ascii="仿宋_GB2312" w:hAnsi="仿宋_GB2312" w:eastAsia="仿宋_GB2312" w:cs="仿宋_GB2312"/>
          <w:sz w:val="36"/>
          <w:szCs w:val="36"/>
          <w:highlight w:val="none"/>
        </w:rPr>
        <w:t>，加大智能康复辅具应用力度，培育5个“康复辅具+”融合新业态，机构辅具规范配置率明显提升。</w:t>
      </w:r>
    </w:p>
    <w:p>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eastAsia" w:ascii="仿宋_GB2312" w:hAnsi="仿宋_GB2312" w:eastAsia="仿宋_GB2312" w:cs="仿宋_GB2312"/>
          <w:sz w:val="36"/>
          <w:szCs w:val="36"/>
          <w:highlight w:val="none"/>
        </w:rPr>
      </w:pPr>
      <w:r>
        <w:rPr>
          <w:rFonts w:hint="eastAsia" w:ascii="仿宋_GB2312" w:hAnsi="仿宋_GB2312" w:eastAsia="仿宋_GB2312" w:cs="仿宋_GB2312"/>
          <w:sz w:val="36"/>
          <w:szCs w:val="36"/>
          <w:highlight w:val="none"/>
        </w:rPr>
        <w:t>——</w:t>
      </w:r>
      <w:r>
        <w:rPr>
          <w:rFonts w:hint="eastAsia" w:ascii="仿宋_GB2312" w:hAnsi="仿宋_GB2312" w:eastAsia="仿宋_GB2312" w:cs="仿宋_GB2312"/>
          <w:sz w:val="36"/>
          <w:szCs w:val="36"/>
          <w:highlight w:val="none"/>
          <w:lang w:eastAsia="zh-CN"/>
        </w:rPr>
        <w:t>全力提升</w:t>
      </w:r>
      <w:r>
        <w:rPr>
          <w:rFonts w:hint="eastAsia" w:ascii="仿宋_GB2312" w:hAnsi="仿宋_GB2312" w:eastAsia="仿宋_GB2312" w:cs="仿宋_GB2312"/>
          <w:sz w:val="36"/>
          <w:szCs w:val="36"/>
          <w:highlight w:val="none"/>
        </w:rPr>
        <w:t>产业基础，引进</w:t>
      </w:r>
      <w:r>
        <w:rPr>
          <w:rFonts w:hint="eastAsia" w:ascii="仿宋_GB2312" w:hAnsi="仿宋_GB2312" w:eastAsia="仿宋_GB2312" w:cs="仿宋_GB2312"/>
          <w:sz w:val="36"/>
          <w:szCs w:val="36"/>
          <w:highlight w:val="none"/>
          <w:lang w:eastAsia="zh-CN"/>
        </w:rPr>
        <w:t>和培育一批</w:t>
      </w:r>
      <w:r>
        <w:rPr>
          <w:rFonts w:hint="eastAsia" w:ascii="仿宋_GB2312" w:hAnsi="仿宋_GB2312" w:eastAsia="仿宋_GB2312" w:cs="仿宋_GB2312"/>
          <w:sz w:val="36"/>
          <w:szCs w:val="36"/>
          <w:highlight w:val="none"/>
        </w:rPr>
        <w:t>康复辅具及配套企业等市场主体，打造</w:t>
      </w:r>
      <w:r>
        <w:rPr>
          <w:rFonts w:hint="eastAsia" w:ascii="仿宋_GB2312" w:hAnsi="仿宋_GB2312" w:eastAsia="仿宋_GB2312" w:cs="仿宋_GB2312"/>
          <w:sz w:val="36"/>
          <w:szCs w:val="36"/>
          <w:highlight w:val="none"/>
          <w:lang w:eastAsia="zh-CN"/>
        </w:rPr>
        <w:t>市级</w:t>
      </w:r>
      <w:r>
        <w:rPr>
          <w:rFonts w:hint="eastAsia" w:ascii="仿宋_GB2312" w:hAnsi="仿宋_GB2312" w:eastAsia="仿宋_GB2312" w:cs="仿宋_GB2312"/>
          <w:sz w:val="36"/>
          <w:szCs w:val="36"/>
          <w:highlight w:val="none"/>
        </w:rPr>
        <w:t>康复辅具产学研创新平台。</w:t>
      </w:r>
    </w:p>
    <w:p>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eastAsia" w:ascii="仿宋_GB2312" w:hAnsi="仿宋_GB2312" w:eastAsia="仿宋_GB2312" w:cs="仿宋_GB2312"/>
          <w:sz w:val="36"/>
          <w:szCs w:val="36"/>
          <w:highlight w:val="none"/>
        </w:rPr>
      </w:pPr>
      <w:r>
        <w:rPr>
          <w:rFonts w:hint="eastAsia" w:ascii="仿宋_GB2312" w:hAnsi="仿宋_GB2312" w:eastAsia="仿宋_GB2312" w:cs="仿宋_GB2312"/>
          <w:sz w:val="36"/>
          <w:szCs w:val="36"/>
          <w:highlight w:val="none"/>
        </w:rPr>
        <w:t>——规范租赁清单管理，落实国家、省级标准，制定一批贴合山区实际的辅具服务规范、租赁管理细则。</w:t>
      </w:r>
    </w:p>
    <w:p>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eastAsia" w:ascii="仿宋_GB2312" w:hAnsi="仿宋_GB2312" w:eastAsia="仿宋_GB2312" w:cs="仿宋_GB2312"/>
          <w:sz w:val="36"/>
          <w:szCs w:val="36"/>
          <w:highlight w:val="none"/>
        </w:rPr>
      </w:pPr>
      <w:r>
        <w:rPr>
          <w:rFonts w:hint="eastAsia" w:ascii="仿宋_GB2312" w:hAnsi="仿宋_GB2312" w:eastAsia="仿宋_GB2312" w:cs="仿宋_GB2312"/>
          <w:sz w:val="36"/>
          <w:szCs w:val="36"/>
          <w:highlight w:val="none"/>
        </w:rPr>
        <w:t>——完善康复辅具质量检测、评估服务体系，争取在明设立国家级康复辅具产品检验检测认证机构，产品质量安全、市场秩序持续优化。</w:t>
      </w:r>
    </w:p>
    <w:p>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eastAsia" w:ascii="黑体" w:hAnsi="黑体" w:eastAsia="黑体" w:cs="黑体"/>
          <w:sz w:val="36"/>
          <w:szCs w:val="36"/>
        </w:rPr>
      </w:pPr>
      <w:r>
        <w:rPr>
          <w:rFonts w:hint="eastAsia" w:ascii="黑体" w:hAnsi="黑体" w:eastAsia="黑体" w:cs="黑体"/>
          <w:sz w:val="36"/>
          <w:szCs w:val="36"/>
        </w:rPr>
        <w:t>二、重点任务</w:t>
      </w:r>
    </w:p>
    <w:p>
      <w:pPr>
        <w:keepNext w:val="0"/>
        <w:keepLines w:val="0"/>
        <w:pageBreakBefore w:val="0"/>
        <w:widowControl w:val="0"/>
        <w:kinsoku/>
        <w:wordWrap/>
        <w:overflowPunct/>
        <w:topLinePunct w:val="0"/>
        <w:autoSpaceDE/>
        <w:autoSpaceDN/>
        <w:bidi w:val="0"/>
        <w:adjustRightInd/>
        <w:snapToGrid/>
        <w:spacing w:line="560" w:lineRule="exact"/>
        <w:ind w:firstLine="722" w:firstLineChars="200"/>
        <w:textAlignment w:val="auto"/>
        <w:rPr>
          <w:rFonts w:hint="eastAsia" w:ascii="楷体_GB2312" w:hAnsi="楷体_GB2312" w:eastAsia="楷体_GB2312" w:cs="楷体_GB2312"/>
          <w:b/>
          <w:bCs/>
          <w:sz w:val="36"/>
          <w:szCs w:val="36"/>
        </w:rPr>
      </w:pPr>
      <w:r>
        <w:rPr>
          <w:rFonts w:hint="eastAsia" w:ascii="楷体_GB2312" w:hAnsi="楷体_GB2312" w:eastAsia="楷体_GB2312" w:cs="楷体_GB2312"/>
          <w:b/>
          <w:bCs/>
          <w:sz w:val="36"/>
          <w:szCs w:val="36"/>
        </w:rPr>
        <w:t>（一）大力升级</w:t>
      </w:r>
      <w:r>
        <w:rPr>
          <w:rFonts w:hint="eastAsia" w:ascii="楷体_GB2312" w:hAnsi="楷体_GB2312" w:eastAsia="楷体_GB2312" w:cs="楷体_GB2312"/>
          <w:b/>
          <w:bCs/>
          <w:sz w:val="36"/>
          <w:szCs w:val="36"/>
          <w:lang w:eastAsia="zh-CN"/>
        </w:rPr>
        <w:t>康复辅具</w:t>
      </w:r>
      <w:r>
        <w:rPr>
          <w:rFonts w:hint="eastAsia" w:ascii="楷体_GB2312" w:hAnsi="楷体_GB2312" w:eastAsia="楷体_GB2312" w:cs="楷体_GB2312"/>
          <w:b/>
          <w:bCs/>
          <w:sz w:val="36"/>
          <w:szCs w:val="36"/>
        </w:rPr>
        <w:t>服务网络</w:t>
      </w:r>
    </w:p>
    <w:p>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巩固</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综合服务中心+基层站点</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运营模式，推动服务从</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全覆盖</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向</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高品质、智能化、便捷化</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升级，构建主体多元、覆盖城乡、方便可及的服务网络。</w:t>
      </w:r>
    </w:p>
    <w:p>
      <w:pPr>
        <w:keepNext w:val="0"/>
        <w:keepLines w:val="0"/>
        <w:pageBreakBefore w:val="0"/>
        <w:widowControl w:val="0"/>
        <w:kinsoku/>
        <w:wordWrap/>
        <w:overflowPunct/>
        <w:topLinePunct w:val="0"/>
        <w:autoSpaceDE/>
        <w:autoSpaceDN/>
        <w:bidi w:val="0"/>
        <w:adjustRightInd/>
        <w:snapToGrid/>
        <w:spacing w:line="560" w:lineRule="exact"/>
        <w:ind w:firstLine="722" w:firstLineChars="200"/>
        <w:textAlignment w:val="auto"/>
        <w:rPr>
          <w:rFonts w:hint="eastAsia" w:ascii="仿宋_GB2312" w:hAnsi="仿宋_GB2312" w:eastAsia="仿宋_GB2312" w:cs="仿宋_GB2312"/>
          <w:sz w:val="36"/>
          <w:szCs w:val="36"/>
        </w:rPr>
      </w:pPr>
      <w:r>
        <w:rPr>
          <w:rFonts w:hint="eastAsia" w:ascii="仿宋_GB2312" w:hAnsi="仿宋_GB2312" w:eastAsia="仿宋_GB2312" w:cs="仿宋_GB2312"/>
          <w:b/>
          <w:bCs/>
          <w:sz w:val="36"/>
          <w:szCs w:val="36"/>
          <w:lang w:val="en-US" w:eastAsia="zh-CN"/>
        </w:rPr>
        <w:t>1.优化</w:t>
      </w:r>
      <w:r>
        <w:rPr>
          <w:rFonts w:hint="eastAsia" w:ascii="仿宋_GB2312" w:hAnsi="仿宋_GB2312" w:eastAsia="仿宋_GB2312" w:cs="仿宋_GB2312"/>
          <w:b/>
          <w:bCs/>
          <w:sz w:val="36"/>
          <w:szCs w:val="36"/>
        </w:rPr>
        <w:t>综合服务中心功能</w:t>
      </w:r>
      <w:r>
        <w:rPr>
          <w:rFonts w:hint="eastAsia" w:ascii="仿宋_GB2312" w:hAnsi="仿宋_GB2312" w:eastAsia="仿宋_GB2312" w:cs="仿宋_GB2312"/>
          <w:b/>
          <w:bCs/>
          <w:sz w:val="36"/>
          <w:szCs w:val="36"/>
          <w:lang w:eastAsia="zh-CN"/>
        </w:rPr>
        <w:t>布局</w:t>
      </w:r>
      <w:r>
        <w:rPr>
          <w:rFonts w:hint="eastAsia" w:ascii="仿宋_GB2312" w:hAnsi="仿宋_GB2312" w:eastAsia="仿宋_GB2312" w:cs="仿宋_GB2312"/>
          <w:b/>
          <w:bCs/>
          <w:sz w:val="36"/>
          <w:szCs w:val="36"/>
        </w:rPr>
        <w:t>。</w:t>
      </w:r>
      <w:r>
        <w:rPr>
          <w:rFonts w:hint="eastAsia" w:ascii="仿宋_GB2312" w:hAnsi="仿宋_GB2312" w:eastAsia="仿宋_GB2312" w:cs="仿宋_GB2312"/>
          <w:sz w:val="36"/>
          <w:szCs w:val="36"/>
        </w:rPr>
        <w:t>升级市级康复辅具综合服务中心，增设科普展示、产品体验、评估配置、质量检测、租赁销售、技能培训等功能；各县（市、区）依托民政、残联、卫健现有设施，2027年底前全面</w:t>
      </w:r>
      <w:r>
        <w:rPr>
          <w:rFonts w:hint="eastAsia" w:ascii="仿宋_GB2312" w:hAnsi="仿宋_GB2312" w:eastAsia="仿宋_GB2312" w:cs="仿宋_GB2312"/>
          <w:spacing w:val="-11"/>
          <w:sz w:val="36"/>
          <w:szCs w:val="36"/>
        </w:rPr>
        <w:t>建成县级综合服务中心，强化区域辐射</w:t>
      </w:r>
      <w:r>
        <w:rPr>
          <w:rFonts w:hint="eastAsia" w:ascii="仿宋_GB2312" w:hAnsi="仿宋_GB2312" w:eastAsia="仿宋_GB2312" w:cs="仿宋_GB2312"/>
          <w:spacing w:val="-11"/>
          <w:sz w:val="36"/>
          <w:szCs w:val="36"/>
          <w:lang w:eastAsia="zh-CN"/>
        </w:rPr>
        <w:t>和</w:t>
      </w:r>
      <w:r>
        <w:rPr>
          <w:rFonts w:hint="eastAsia" w:ascii="仿宋_GB2312" w:hAnsi="仿宋_GB2312" w:eastAsia="仿宋_GB2312" w:cs="仿宋_GB2312"/>
          <w:spacing w:val="-11"/>
          <w:sz w:val="36"/>
          <w:szCs w:val="36"/>
        </w:rPr>
        <w:t>技术指导能</w:t>
      </w:r>
      <w:r>
        <w:rPr>
          <w:rFonts w:hint="eastAsia" w:ascii="仿宋_GB2312" w:hAnsi="仿宋_GB2312" w:eastAsia="仿宋_GB2312" w:cs="仿宋_GB2312"/>
          <w:sz w:val="36"/>
          <w:szCs w:val="36"/>
        </w:rPr>
        <w:t>力。</w:t>
      </w:r>
    </w:p>
    <w:p>
      <w:pPr>
        <w:keepNext w:val="0"/>
        <w:keepLines w:val="0"/>
        <w:pageBreakBefore w:val="0"/>
        <w:widowControl w:val="0"/>
        <w:kinsoku/>
        <w:wordWrap/>
        <w:overflowPunct/>
        <w:topLinePunct w:val="0"/>
        <w:autoSpaceDE/>
        <w:autoSpaceDN/>
        <w:bidi w:val="0"/>
        <w:adjustRightInd/>
        <w:snapToGrid/>
        <w:spacing w:line="560" w:lineRule="exact"/>
        <w:ind w:firstLine="722" w:firstLineChars="200"/>
        <w:textAlignment w:val="auto"/>
        <w:rPr>
          <w:rFonts w:hint="eastAsia" w:ascii="仿宋_GB2312" w:hAnsi="仿宋_GB2312" w:eastAsia="仿宋_GB2312" w:cs="仿宋_GB2312"/>
          <w:sz w:val="36"/>
          <w:szCs w:val="36"/>
        </w:rPr>
      </w:pPr>
      <w:r>
        <w:rPr>
          <w:rFonts w:hint="eastAsia" w:ascii="仿宋_GB2312" w:hAnsi="仿宋_GB2312" w:eastAsia="仿宋_GB2312" w:cs="仿宋_GB2312"/>
          <w:b/>
          <w:bCs/>
          <w:sz w:val="36"/>
          <w:szCs w:val="36"/>
          <w:lang w:val="en-US" w:eastAsia="zh-CN"/>
        </w:rPr>
        <w:t>2.</w:t>
      </w:r>
      <w:r>
        <w:rPr>
          <w:rFonts w:hint="eastAsia" w:ascii="仿宋_GB2312" w:hAnsi="仿宋_GB2312" w:eastAsia="仿宋_GB2312" w:cs="仿宋_GB2312"/>
          <w:b/>
          <w:bCs/>
          <w:sz w:val="36"/>
          <w:szCs w:val="36"/>
        </w:rPr>
        <w:t>推进基层站点提质扩面。</w:t>
      </w:r>
      <w:r>
        <w:rPr>
          <w:rFonts w:hint="eastAsia" w:ascii="仿宋_GB2312" w:hAnsi="仿宋_GB2312" w:eastAsia="仿宋_GB2312" w:cs="仿宋_GB2312"/>
          <w:sz w:val="36"/>
          <w:szCs w:val="36"/>
          <w:lang w:eastAsia="zh-CN"/>
        </w:rPr>
        <w:t>广泛设置配置服务站点，</w:t>
      </w:r>
      <w:r>
        <w:rPr>
          <w:rFonts w:hint="eastAsia" w:ascii="仿宋_GB2312" w:hAnsi="仿宋_GB2312" w:eastAsia="仿宋_GB2312" w:cs="仿宋_GB2312"/>
          <w:sz w:val="36"/>
          <w:szCs w:val="36"/>
        </w:rPr>
        <w:t>依托社区综合服务中心、居家养老照料中心、</w:t>
      </w:r>
      <w:r>
        <w:rPr>
          <w:rFonts w:hint="eastAsia" w:ascii="仿宋_GB2312" w:hAnsi="仿宋_GB2312" w:eastAsia="仿宋_GB2312" w:cs="仿宋_GB2312"/>
          <w:sz w:val="36"/>
          <w:szCs w:val="36"/>
          <w:lang w:eastAsia="zh-CN"/>
        </w:rPr>
        <w:t>残疾人服务点、乡镇中心卫生院、</w:t>
      </w:r>
      <w:r>
        <w:rPr>
          <w:rFonts w:hint="eastAsia" w:ascii="仿宋_GB2312" w:hAnsi="仿宋_GB2312" w:eastAsia="仿宋_GB2312" w:cs="仿宋_GB2312"/>
          <w:sz w:val="36"/>
          <w:szCs w:val="36"/>
        </w:rPr>
        <w:t>村卫生室</w:t>
      </w:r>
      <w:r>
        <w:rPr>
          <w:rFonts w:hint="eastAsia" w:ascii="仿宋_GB2312" w:hAnsi="仿宋_GB2312" w:eastAsia="仿宋_GB2312" w:cs="仿宋_GB2312"/>
          <w:sz w:val="36"/>
          <w:szCs w:val="36"/>
          <w:lang w:eastAsia="zh-CN"/>
        </w:rPr>
        <w:t>、村幸福院、乡村零售网点</w:t>
      </w:r>
      <w:r>
        <w:rPr>
          <w:rFonts w:hint="eastAsia" w:ascii="仿宋_GB2312" w:hAnsi="仿宋_GB2312" w:eastAsia="仿宋_GB2312" w:cs="仿宋_GB2312"/>
          <w:sz w:val="36"/>
          <w:szCs w:val="36"/>
        </w:rPr>
        <w:t>等场所</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增设康复辅具服务点位，统一站点建设标准、服务流程与人员配置，推行一站式咨询、评估、配置、</w:t>
      </w:r>
      <w:r>
        <w:rPr>
          <w:rFonts w:hint="eastAsia" w:ascii="仿宋_GB2312" w:hAnsi="仿宋_GB2312" w:eastAsia="仿宋_GB2312" w:cs="仿宋_GB2312"/>
          <w:sz w:val="36"/>
          <w:szCs w:val="36"/>
          <w:lang w:eastAsia="zh-CN"/>
        </w:rPr>
        <w:t>租赁、</w:t>
      </w:r>
      <w:r>
        <w:rPr>
          <w:rFonts w:hint="eastAsia" w:ascii="仿宋_GB2312" w:hAnsi="仿宋_GB2312" w:eastAsia="仿宋_GB2312" w:cs="仿宋_GB2312"/>
          <w:sz w:val="36"/>
          <w:szCs w:val="36"/>
        </w:rPr>
        <w:t>回访</w:t>
      </w:r>
      <w:r>
        <w:rPr>
          <w:rFonts w:hint="eastAsia" w:ascii="仿宋_GB2312" w:hAnsi="仿宋_GB2312" w:eastAsia="仿宋_GB2312" w:cs="仿宋_GB2312"/>
          <w:sz w:val="36"/>
          <w:szCs w:val="36"/>
          <w:lang w:eastAsia="zh-CN"/>
        </w:rPr>
        <w:t>等</w:t>
      </w:r>
      <w:r>
        <w:rPr>
          <w:rFonts w:hint="eastAsia" w:ascii="仿宋_GB2312" w:hAnsi="仿宋_GB2312" w:eastAsia="仿宋_GB2312" w:cs="仿宋_GB2312"/>
          <w:sz w:val="36"/>
          <w:szCs w:val="36"/>
        </w:rPr>
        <w:t>服务。</w:t>
      </w:r>
      <w:r>
        <w:rPr>
          <w:rFonts w:hint="eastAsia" w:ascii="仿宋_GB2312" w:hAnsi="仿宋_GB2312" w:eastAsia="仿宋_GB2312" w:cs="仿宋_GB2312"/>
          <w:sz w:val="36"/>
          <w:szCs w:val="36"/>
          <w:lang w:eastAsia="zh-CN"/>
        </w:rPr>
        <w:t>到</w:t>
      </w:r>
      <w:r>
        <w:rPr>
          <w:rFonts w:hint="eastAsia" w:ascii="仿宋_GB2312" w:hAnsi="仿宋_GB2312" w:eastAsia="仿宋_GB2312" w:cs="仿宋_GB2312"/>
          <w:sz w:val="36"/>
          <w:szCs w:val="36"/>
        </w:rPr>
        <w:t>2028年</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全市乡镇（街道）站点</w:t>
      </w:r>
      <w:r>
        <w:rPr>
          <w:rFonts w:hint="eastAsia" w:ascii="仿宋_GB2312" w:hAnsi="仿宋_GB2312" w:eastAsia="仿宋_GB2312" w:cs="仿宋_GB2312"/>
          <w:sz w:val="36"/>
          <w:szCs w:val="36"/>
          <w:lang w:eastAsia="zh-CN"/>
        </w:rPr>
        <w:t>服务覆盖率不低于</w:t>
      </w:r>
      <w:r>
        <w:rPr>
          <w:rFonts w:hint="eastAsia" w:ascii="仿宋_GB2312" w:hAnsi="仿宋_GB2312" w:eastAsia="仿宋_GB2312" w:cs="仿宋_GB2312"/>
          <w:sz w:val="36"/>
          <w:szCs w:val="36"/>
          <w:lang w:val="en-US" w:eastAsia="zh-CN"/>
        </w:rPr>
        <w:t>90%</w:t>
      </w:r>
      <w:r>
        <w:rPr>
          <w:rFonts w:hint="eastAsia" w:ascii="仿宋_GB2312" w:hAnsi="仿宋_GB2312" w:eastAsia="仿宋_GB2312" w:cs="仿宋_GB2312"/>
          <w:sz w:val="36"/>
          <w:szCs w:val="36"/>
        </w:rPr>
        <w:t>，村级</w:t>
      </w:r>
      <w:r>
        <w:rPr>
          <w:rFonts w:hint="eastAsia" w:ascii="仿宋_GB2312" w:hAnsi="仿宋_GB2312" w:eastAsia="仿宋_GB2312" w:cs="仿宋_GB2312"/>
          <w:sz w:val="36"/>
          <w:szCs w:val="36"/>
          <w:lang w:eastAsia="zh-CN"/>
        </w:rPr>
        <w:t>服务</w:t>
      </w:r>
      <w:r>
        <w:rPr>
          <w:rFonts w:hint="eastAsia" w:ascii="仿宋_GB2312" w:hAnsi="仿宋_GB2312" w:eastAsia="仿宋_GB2312" w:cs="仿宋_GB2312"/>
          <w:sz w:val="36"/>
          <w:szCs w:val="36"/>
        </w:rPr>
        <w:t>站点覆盖率</w:t>
      </w:r>
      <w:r>
        <w:rPr>
          <w:rFonts w:hint="eastAsia" w:ascii="仿宋_GB2312" w:hAnsi="仿宋_GB2312" w:eastAsia="仿宋_GB2312" w:cs="仿宋_GB2312"/>
          <w:sz w:val="36"/>
          <w:szCs w:val="36"/>
          <w:lang w:eastAsia="zh-CN"/>
        </w:rPr>
        <w:t>明显</w:t>
      </w:r>
      <w:r>
        <w:rPr>
          <w:rFonts w:hint="eastAsia" w:ascii="仿宋_GB2312" w:hAnsi="仿宋_GB2312" w:eastAsia="仿宋_GB2312" w:cs="仿宋_GB2312"/>
          <w:sz w:val="36"/>
          <w:szCs w:val="36"/>
        </w:rPr>
        <w:t>提升。</w:t>
      </w:r>
    </w:p>
    <w:p>
      <w:pPr>
        <w:keepNext w:val="0"/>
        <w:keepLines w:val="0"/>
        <w:pageBreakBefore w:val="0"/>
        <w:widowControl w:val="0"/>
        <w:kinsoku/>
        <w:wordWrap/>
        <w:overflowPunct/>
        <w:topLinePunct w:val="0"/>
        <w:autoSpaceDE/>
        <w:autoSpaceDN/>
        <w:bidi w:val="0"/>
        <w:adjustRightInd/>
        <w:snapToGrid/>
        <w:spacing w:line="560" w:lineRule="exact"/>
        <w:ind w:firstLine="722" w:firstLineChars="200"/>
        <w:textAlignment w:val="auto"/>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b/>
          <w:bCs/>
          <w:sz w:val="36"/>
          <w:szCs w:val="36"/>
          <w:lang w:val="en-US" w:eastAsia="zh-CN"/>
        </w:rPr>
        <w:t>3.创新康复辅具供需对接范式。</w:t>
      </w:r>
      <w:r>
        <w:rPr>
          <w:rFonts w:hint="eastAsia" w:ascii="仿宋_GB2312" w:hAnsi="仿宋_GB2312" w:eastAsia="仿宋_GB2312" w:cs="仿宋_GB2312"/>
          <w:sz w:val="36"/>
          <w:szCs w:val="36"/>
          <w:lang w:val="en-US" w:eastAsia="zh-CN"/>
        </w:rPr>
        <w:t>依托地方一刻钟养老服务圈的场景优势、国康中心科研产业国家队资源对接与质量检测优势，探索建立“中心+站点”智能康复辅具供需对接应用场景建设范式。创新解决智能康复辅具产品在成果转化、合规检测、适老化评价、科普宣传、消费促进、基层服务、人才培训、风险保障、线上服务平台、政策保障等方面的堵点难点，打通新产品从出厂到入户的“最后一公里”。积极对接“国康发布”平台，合作开展康复辅具创新成果发布、路演对接、央媒宣传、科普推广，提升三明康复辅具产业的影响力和辐射力。</w:t>
      </w:r>
    </w:p>
    <w:p>
      <w:pPr>
        <w:keepNext w:val="0"/>
        <w:keepLines w:val="0"/>
        <w:pageBreakBefore w:val="0"/>
        <w:widowControl w:val="0"/>
        <w:kinsoku/>
        <w:wordWrap/>
        <w:overflowPunct/>
        <w:topLinePunct w:val="0"/>
        <w:autoSpaceDE/>
        <w:autoSpaceDN/>
        <w:bidi w:val="0"/>
        <w:adjustRightInd/>
        <w:snapToGrid/>
        <w:spacing w:line="560" w:lineRule="exact"/>
        <w:ind w:firstLine="722" w:firstLineChars="200"/>
        <w:textAlignment w:val="auto"/>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b/>
          <w:bCs/>
          <w:sz w:val="36"/>
          <w:szCs w:val="36"/>
          <w:lang w:val="en-US" w:eastAsia="zh-CN"/>
        </w:rPr>
        <w:t>4.规范社区租赁循环服务。</w:t>
      </w:r>
      <w:r>
        <w:rPr>
          <w:rFonts w:hint="eastAsia" w:ascii="仿宋_GB2312" w:hAnsi="仿宋_GB2312" w:eastAsia="仿宋_GB2312" w:cs="仿宋_GB2312"/>
          <w:sz w:val="36"/>
          <w:szCs w:val="36"/>
          <w:lang w:val="en-US" w:eastAsia="zh-CN"/>
        </w:rPr>
        <w:t>研究制定康复辅具租赁管理细则，制定康复辅具租赁企业和产品清单，明确企业准入、认定、遴选标准，明确产品确定标准和更新频率，建立动态调整机制，确保租赁产品安全可靠、适销对路。搭建租赁数字化管理平台，建立辅具清洗、消毒、检验、追溯全流程制度，推广以租代售、分时共享、旧物翻新、绿色回收模式，降低群众使用成本。</w:t>
      </w:r>
    </w:p>
    <w:p>
      <w:pPr>
        <w:keepNext w:val="0"/>
        <w:keepLines w:val="0"/>
        <w:pageBreakBefore w:val="0"/>
        <w:widowControl w:val="0"/>
        <w:kinsoku/>
        <w:wordWrap/>
        <w:overflowPunct/>
        <w:topLinePunct w:val="0"/>
        <w:autoSpaceDE/>
        <w:autoSpaceDN/>
        <w:bidi w:val="0"/>
        <w:adjustRightInd/>
        <w:snapToGrid/>
        <w:spacing w:line="560" w:lineRule="exact"/>
        <w:ind w:firstLine="722" w:firstLineChars="200"/>
        <w:textAlignment w:val="auto"/>
        <w:rPr>
          <w:rFonts w:hint="eastAsia" w:ascii="楷体_GB2312" w:hAnsi="楷体_GB2312" w:eastAsia="楷体_GB2312" w:cs="楷体_GB2312"/>
          <w:b/>
          <w:bCs/>
          <w:sz w:val="36"/>
          <w:szCs w:val="36"/>
        </w:rPr>
      </w:pPr>
      <w:r>
        <w:rPr>
          <w:rFonts w:hint="eastAsia" w:ascii="楷体_GB2312" w:hAnsi="楷体_GB2312" w:eastAsia="楷体_GB2312" w:cs="楷体_GB2312"/>
          <w:b/>
          <w:bCs/>
          <w:sz w:val="36"/>
          <w:szCs w:val="36"/>
        </w:rPr>
        <w:t>（二）深化拓展</w:t>
      </w:r>
      <w:r>
        <w:rPr>
          <w:rFonts w:hint="eastAsia" w:ascii="楷体_GB2312" w:hAnsi="楷体_GB2312" w:eastAsia="楷体_GB2312" w:cs="楷体_GB2312"/>
          <w:b/>
          <w:bCs/>
          <w:sz w:val="36"/>
          <w:szCs w:val="36"/>
          <w:lang w:eastAsia="zh-CN"/>
        </w:rPr>
        <w:t>康复辅具</w:t>
      </w:r>
      <w:r>
        <w:rPr>
          <w:rFonts w:hint="eastAsia" w:ascii="楷体_GB2312" w:hAnsi="楷体_GB2312" w:eastAsia="楷体_GB2312" w:cs="楷体_GB2312"/>
          <w:b/>
          <w:bCs/>
          <w:sz w:val="36"/>
          <w:szCs w:val="36"/>
        </w:rPr>
        <w:t>应用场景</w:t>
      </w:r>
    </w:p>
    <w:p>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深化应用场景培育和开放，分领域、分人群开展康复辅具需求调研，发布基于调研的真实应用场景需求；拓展“康复辅具+”应用场景，促进其在养老、助残、医疗、教育、通信、交通、文体娱乐等领域广泛应用，打造一批可复制、可推广的示范标杆。</w:t>
      </w:r>
    </w:p>
    <w:p>
      <w:pPr>
        <w:keepNext w:val="0"/>
        <w:keepLines w:val="0"/>
        <w:pageBreakBefore w:val="0"/>
        <w:widowControl w:val="0"/>
        <w:kinsoku/>
        <w:wordWrap/>
        <w:overflowPunct/>
        <w:topLinePunct w:val="0"/>
        <w:autoSpaceDE/>
        <w:autoSpaceDN/>
        <w:bidi w:val="0"/>
        <w:adjustRightInd/>
        <w:snapToGrid/>
        <w:spacing w:line="560" w:lineRule="exact"/>
        <w:ind w:firstLine="722" w:firstLineChars="200"/>
        <w:textAlignment w:val="auto"/>
        <w:rPr>
          <w:rFonts w:hint="eastAsia" w:ascii="仿宋_GB2312" w:hAnsi="仿宋_GB2312" w:eastAsia="仿宋_GB2312" w:cs="仿宋_GB2312"/>
          <w:sz w:val="36"/>
          <w:szCs w:val="36"/>
        </w:rPr>
      </w:pPr>
      <w:r>
        <w:rPr>
          <w:rFonts w:hint="eastAsia" w:ascii="仿宋_GB2312" w:hAnsi="仿宋_GB2312" w:eastAsia="仿宋_GB2312" w:cs="仿宋_GB2312"/>
          <w:b/>
          <w:bCs/>
          <w:sz w:val="36"/>
          <w:szCs w:val="36"/>
        </w:rPr>
        <w:t>1.深耕基础民生场景。</w:t>
      </w:r>
      <w:r>
        <w:rPr>
          <w:rFonts w:hint="eastAsia" w:ascii="仿宋_GB2312" w:hAnsi="仿宋_GB2312" w:eastAsia="仿宋_GB2312" w:cs="仿宋_GB2312"/>
          <w:sz w:val="36"/>
          <w:szCs w:val="36"/>
        </w:rPr>
        <w:t>加大具身智能等智能康复辅具应用力度，鼓励推动康复机器人、智能穿戴、生命体征监测等适用性强、普适度高、覆盖面广的智能康复辅具，在养老、残疾人、医疗、儿童福利等机构开展规模化、集成化应用，加强在社区和家庭的配置与推广应用。加快推进无障碍环境建设，统筹实施残疾人家庭无障碍改造和老年人居家适老化改造。在适老化改造场景中配置应用康复辅具，</w:t>
      </w:r>
      <w:r>
        <w:rPr>
          <w:rFonts w:hint="eastAsia" w:ascii="仿宋_GB2312" w:hAnsi="仿宋_GB2312" w:eastAsia="仿宋_GB2312" w:cs="仿宋_GB2312"/>
          <w:sz w:val="36"/>
          <w:szCs w:val="36"/>
          <w:lang w:eastAsia="zh-CN"/>
        </w:rPr>
        <w:t>三年内累计完成改造不少于</w:t>
      </w:r>
      <w:r>
        <w:rPr>
          <w:rFonts w:hint="eastAsia" w:ascii="仿宋_GB2312" w:hAnsi="仿宋_GB2312" w:eastAsia="仿宋_GB2312" w:cs="仿宋_GB2312"/>
          <w:sz w:val="36"/>
          <w:szCs w:val="36"/>
          <w:lang w:val="en-US" w:eastAsia="zh-CN"/>
        </w:rPr>
        <w:t>6000户</w:t>
      </w:r>
      <w:r>
        <w:rPr>
          <w:rFonts w:hint="eastAsia" w:ascii="仿宋_GB2312" w:hAnsi="仿宋_GB2312" w:eastAsia="仿宋_GB2312" w:cs="仿宋_GB2312"/>
          <w:sz w:val="36"/>
          <w:szCs w:val="36"/>
        </w:rPr>
        <w:t>。</w:t>
      </w:r>
    </w:p>
    <w:p>
      <w:pPr>
        <w:keepNext w:val="0"/>
        <w:keepLines w:val="0"/>
        <w:pageBreakBefore w:val="0"/>
        <w:widowControl w:val="0"/>
        <w:kinsoku/>
        <w:wordWrap/>
        <w:overflowPunct/>
        <w:topLinePunct w:val="0"/>
        <w:autoSpaceDE/>
        <w:autoSpaceDN/>
        <w:bidi w:val="0"/>
        <w:adjustRightInd/>
        <w:snapToGrid/>
        <w:spacing w:line="560" w:lineRule="exact"/>
        <w:ind w:firstLine="722" w:firstLineChars="200"/>
        <w:textAlignment w:val="auto"/>
        <w:rPr>
          <w:rFonts w:hint="eastAsia" w:ascii="仿宋_GB2312" w:hAnsi="仿宋_GB2312" w:eastAsia="仿宋_GB2312" w:cs="仿宋_GB2312"/>
          <w:sz w:val="36"/>
          <w:szCs w:val="36"/>
        </w:rPr>
      </w:pPr>
      <w:r>
        <w:rPr>
          <w:rFonts w:hint="eastAsia" w:ascii="仿宋_GB2312" w:hAnsi="仿宋_GB2312" w:eastAsia="仿宋_GB2312" w:cs="仿宋_GB2312"/>
          <w:b/>
          <w:bCs/>
          <w:sz w:val="36"/>
          <w:szCs w:val="36"/>
        </w:rPr>
        <w:t>2.培育跨界融合场景。</w:t>
      </w:r>
      <w:r>
        <w:rPr>
          <w:rFonts w:hint="eastAsia" w:ascii="仿宋_GB2312" w:hAnsi="仿宋_GB2312" w:eastAsia="仿宋_GB2312" w:cs="仿宋_GB2312"/>
          <w:sz w:val="36"/>
          <w:szCs w:val="36"/>
        </w:rPr>
        <w:t>培育一批市级重点融合场景，丰富产业应用生态。在</w:t>
      </w:r>
      <w:r>
        <w:rPr>
          <w:rFonts w:hint="eastAsia" w:ascii="仿宋_GB2312" w:hAnsi="仿宋_GB2312" w:eastAsia="仿宋_GB2312" w:cs="仿宋_GB2312"/>
          <w:sz w:val="36"/>
          <w:szCs w:val="36"/>
          <w:lang w:eastAsia="zh-CN"/>
        </w:rPr>
        <w:t>全市</w:t>
      </w:r>
      <w:r>
        <w:rPr>
          <w:rFonts w:hint="eastAsia" w:ascii="仿宋_GB2312" w:hAnsi="仿宋_GB2312" w:eastAsia="仿宋_GB2312" w:cs="仿宋_GB2312"/>
          <w:sz w:val="36"/>
          <w:szCs w:val="36"/>
        </w:rPr>
        <w:t>大型商超、交通枢纽、旅游景区</w:t>
      </w:r>
      <w:r>
        <w:rPr>
          <w:rFonts w:hint="eastAsia" w:ascii="仿宋_GB2312" w:hAnsi="仿宋_GB2312" w:eastAsia="仿宋_GB2312" w:cs="仿宋_GB2312"/>
          <w:sz w:val="36"/>
          <w:szCs w:val="36"/>
          <w:lang w:eastAsia="zh-CN"/>
        </w:rPr>
        <w:t>、文体场馆</w:t>
      </w:r>
      <w:r>
        <w:rPr>
          <w:rFonts w:hint="eastAsia" w:ascii="仿宋_GB2312" w:hAnsi="仿宋_GB2312" w:eastAsia="仿宋_GB2312" w:cs="仿宋_GB2312"/>
          <w:sz w:val="36"/>
          <w:szCs w:val="36"/>
        </w:rPr>
        <w:t>等场所设立</w:t>
      </w:r>
      <w:r>
        <w:rPr>
          <w:rFonts w:hint="eastAsia" w:ascii="仿宋_GB2312" w:hAnsi="仿宋_GB2312" w:eastAsia="仿宋_GB2312" w:cs="仿宋_GB2312"/>
          <w:sz w:val="36"/>
          <w:szCs w:val="36"/>
          <w:lang w:eastAsia="zh-CN"/>
        </w:rPr>
        <w:t>康复</w:t>
      </w:r>
      <w:r>
        <w:rPr>
          <w:rFonts w:hint="eastAsia" w:ascii="仿宋_GB2312" w:hAnsi="仿宋_GB2312" w:eastAsia="仿宋_GB2312" w:cs="仿宋_GB2312"/>
          <w:sz w:val="36"/>
          <w:szCs w:val="36"/>
        </w:rPr>
        <w:t>辅具体验</w:t>
      </w:r>
      <w:r>
        <w:rPr>
          <w:rFonts w:hint="eastAsia" w:ascii="仿宋_GB2312" w:hAnsi="仿宋_GB2312" w:eastAsia="仿宋_GB2312" w:cs="仿宋_GB2312"/>
          <w:sz w:val="36"/>
          <w:szCs w:val="36"/>
          <w:lang w:eastAsia="zh-CN"/>
        </w:rPr>
        <w:t>销售</w:t>
      </w:r>
      <w:r>
        <w:rPr>
          <w:rFonts w:hint="eastAsia" w:ascii="仿宋_GB2312" w:hAnsi="仿宋_GB2312" w:eastAsia="仿宋_GB2312" w:cs="仿宋_GB2312"/>
          <w:sz w:val="36"/>
          <w:szCs w:val="36"/>
        </w:rPr>
        <w:t>专区</w:t>
      </w:r>
      <w:r>
        <w:rPr>
          <w:rFonts w:hint="eastAsia" w:ascii="仿宋_GB2312" w:hAnsi="仿宋_GB2312" w:eastAsia="仿宋_GB2312" w:cs="仿宋_GB2312"/>
          <w:sz w:val="36"/>
          <w:szCs w:val="36"/>
          <w:lang w:eastAsia="zh-CN"/>
        </w:rPr>
        <w:t>；结合城市更新、园区建设打造智慧消费场景，</w:t>
      </w:r>
      <w:r>
        <w:rPr>
          <w:rFonts w:hint="eastAsia" w:ascii="仿宋_GB2312" w:hAnsi="仿宋_GB2312" w:eastAsia="仿宋_GB2312" w:cs="仿宋_GB2312"/>
          <w:sz w:val="36"/>
          <w:szCs w:val="36"/>
        </w:rPr>
        <w:t>发展沉浸式康复训练、无障碍文旅等新业态。</w:t>
      </w:r>
    </w:p>
    <w:p>
      <w:pPr>
        <w:keepNext w:val="0"/>
        <w:keepLines w:val="0"/>
        <w:pageBreakBefore w:val="0"/>
        <w:widowControl w:val="0"/>
        <w:kinsoku/>
        <w:wordWrap/>
        <w:overflowPunct/>
        <w:topLinePunct w:val="0"/>
        <w:autoSpaceDE/>
        <w:autoSpaceDN/>
        <w:bidi w:val="0"/>
        <w:adjustRightInd/>
        <w:snapToGrid/>
        <w:spacing w:line="560" w:lineRule="exact"/>
        <w:ind w:firstLine="722" w:firstLineChars="200"/>
        <w:textAlignment w:val="auto"/>
        <w:rPr>
          <w:rFonts w:hint="eastAsia" w:ascii="仿宋_GB2312" w:hAnsi="仿宋_GB2312" w:eastAsia="仿宋_GB2312" w:cs="仿宋_GB2312"/>
          <w:sz w:val="36"/>
          <w:szCs w:val="36"/>
          <w:lang w:eastAsia="zh-CN"/>
        </w:rPr>
      </w:pPr>
      <w:r>
        <w:rPr>
          <w:rFonts w:hint="eastAsia" w:ascii="仿宋_GB2312" w:hAnsi="仿宋_GB2312" w:eastAsia="仿宋_GB2312" w:cs="仿宋_GB2312"/>
          <w:b/>
          <w:bCs/>
          <w:sz w:val="36"/>
          <w:szCs w:val="36"/>
        </w:rPr>
        <w:t>3.推进产品</w:t>
      </w:r>
      <w:r>
        <w:rPr>
          <w:rFonts w:hint="eastAsia" w:ascii="仿宋_GB2312" w:hAnsi="仿宋_GB2312" w:eastAsia="仿宋_GB2312" w:cs="仿宋_GB2312"/>
          <w:b/>
          <w:bCs/>
          <w:sz w:val="36"/>
          <w:szCs w:val="36"/>
          <w:lang w:eastAsia="zh-CN"/>
        </w:rPr>
        <w:t>应用</w:t>
      </w:r>
      <w:r>
        <w:rPr>
          <w:rFonts w:hint="eastAsia" w:ascii="仿宋_GB2312" w:hAnsi="仿宋_GB2312" w:eastAsia="仿宋_GB2312" w:cs="仿宋_GB2312"/>
          <w:b/>
          <w:bCs/>
          <w:sz w:val="36"/>
          <w:szCs w:val="36"/>
        </w:rPr>
        <w:t>与专业评估相结合。</w:t>
      </w:r>
      <w:r>
        <w:rPr>
          <w:rFonts w:hint="eastAsia" w:ascii="仿宋_GB2312" w:hAnsi="仿宋_GB2312" w:eastAsia="仿宋_GB2312" w:cs="仿宋_GB2312"/>
          <w:sz w:val="36"/>
          <w:szCs w:val="36"/>
        </w:rPr>
        <w:t>建立以康复辅具专业评估为基础的配置服务制度，将专业评估作为</w:t>
      </w:r>
      <w:r>
        <w:rPr>
          <w:rFonts w:hint="eastAsia" w:ascii="仿宋_GB2312" w:hAnsi="仿宋_GB2312" w:eastAsia="仿宋_GB2312" w:cs="仿宋_GB2312"/>
          <w:sz w:val="36"/>
          <w:szCs w:val="36"/>
          <w:lang w:eastAsia="zh-CN"/>
        </w:rPr>
        <w:t>康复</w:t>
      </w:r>
      <w:r>
        <w:rPr>
          <w:rFonts w:hint="eastAsia" w:ascii="仿宋_GB2312" w:hAnsi="仿宋_GB2312" w:eastAsia="仿宋_GB2312" w:cs="仿宋_GB2312"/>
          <w:sz w:val="36"/>
          <w:szCs w:val="36"/>
        </w:rPr>
        <w:t>辅具配置的前置环节和支付保障政策的基础依据，确保</w:t>
      </w:r>
      <w:r>
        <w:rPr>
          <w:rFonts w:hint="eastAsia" w:ascii="仿宋_GB2312" w:hAnsi="仿宋_GB2312" w:eastAsia="仿宋_GB2312" w:cs="仿宋_GB2312"/>
          <w:sz w:val="36"/>
          <w:szCs w:val="36"/>
          <w:lang w:eastAsia="zh-CN"/>
        </w:rPr>
        <w:t>康复</w:t>
      </w:r>
      <w:r>
        <w:rPr>
          <w:rFonts w:hint="eastAsia" w:ascii="仿宋_GB2312" w:hAnsi="仿宋_GB2312" w:eastAsia="仿宋_GB2312" w:cs="仿宋_GB2312"/>
          <w:sz w:val="36"/>
          <w:szCs w:val="36"/>
        </w:rPr>
        <w:t>辅具配置服务科学、精准、有效，避免资源浪费和错配。</w:t>
      </w:r>
    </w:p>
    <w:p>
      <w:pPr>
        <w:keepNext w:val="0"/>
        <w:keepLines w:val="0"/>
        <w:pageBreakBefore w:val="0"/>
        <w:widowControl w:val="0"/>
        <w:kinsoku/>
        <w:wordWrap/>
        <w:overflowPunct/>
        <w:topLinePunct w:val="0"/>
        <w:autoSpaceDE/>
        <w:autoSpaceDN/>
        <w:bidi w:val="0"/>
        <w:adjustRightInd/>
        <w:snapToGrid/>
        <w:spacing w:line="560" w:lineRule="exact"/>
        <w:ind w:firstLine="722" w:firstLineChars="200"/>
        <w:textAlignment w:val="auto"/>
        <w:rPr>
          <w:rFonts w:hint="eastAsia" w:ascii="仿宋_GB2312" w:hAnsi="仿宋_GB2312" w:eastAsia="仿宋_GB2312" w:cs="仿宋_GB2312"/>
          <w:sz w:val="36"/>
          <w:szCs w:val="36"/>
        </w:rPr>
      </w:pPr>
      <w:r>
        <w:rPr>
          <w:rFonts w:hint="eastAsia" w:ascii="仿宋_GB2312" w:hAnsi="仿宋_GB2312" w:eastAsia="仿宋_GB2312" w:cs="仿宋_GB2312"/>
          <w:b/>
          <w:bCs/>
          <w:sz w:val="36"/>
          <w:szCs w:val="36"/>
          <w:lang w:val="en-US" w:eastAsia="zh-CN"/>
        </w:rPr>
        <w:t>4.</w:t>
      </w:r>
      <w:r>
        <w:rPr>
          <w:rFonts w:hint="eastAsia" w:ascii="仿宋_GB2312" w:hAnsi="仿宋_GB2312" w:eastAsia="仿宋_GB2312" w:cs="仿宋_GB2312"/>
          <w:b/>
          <w:bCs/>
          <w:sz w:val="36"/>
          <w:szCs w:val="36"/>
        </w:rPr>
        <w:t>打造示范标杆基地。</w:t>
      </w:r>
      <w:r>
        <w:rPr>
          <w:rFonts w:hint="eastAsia" w:ascii="仿宋_GB2312" w:hAnsi="仿宋_GB2312" w:eastAsia="仿宋_GB2312" w:cs="仿宋_GB2312"/>
          <w:sz w:val="36"/>
          <w:szCs w:val="36"/>
        </w:rPr>
        <w:t>对照国家、省级标准，遴选机构、社区、家庭类示范点位，2028年底前打造10个市级以上示范推广应用场景或基地，其中争创省级示范推广应用场景或基地3个、国家级1个，</w:t>
      </w:r>
      <w:r>
        <w:rPr>
          <w:rFonts w:hint="eastAsia" w:ascii="仿宋_GB2312" w:hAnsi="仿宋_GB2312" w:eastAsia="仿宋_GB2312" w:cs="仿宋_GB2312"/>
          <w:sz w:val="36"/>
          <w:szCs w:val="36"/>
          <w:lang w:eastAsia="zh-CN"/>
        </w:rPr>
        <w:t>并积极申报争取纳入国家康复辅具超级场景建设项目，</w:t>
      </w:r>
      <w:r>
        <w:rPr>
          <w:rFonts w:hint="eastAsia" w:ascii="仿宋_GB2312" w:hAnsi="仿宋_GB2312" w:eastAsia="仿宋_GB2312" w:cs="仿宋_GB2312"/>
          <w:sz w:val="36"/>
          <w:szCs w:val="36"/>
        </w:rPr>
        <w:t>以点带面引领全市应用水平提升。</w:t>
      </w:r>
    </w:p>
    <w:p>
      <w:pPr>
        <w:keepNext w:val="0"/>
        <w:keepLines w:val="0"/>
        <w:pageBreakBefore w:val="0"/>
        <w:widowControl w:val="0"/>
        <w:kinsoku/>
        <w:wordWrap/>
        <w:overflowPunct/>
        <w:topLinePunct w:val="0"/>
        <w:autoSpaceDE/>
        <w:autoSpaceDN/>
        <w:bidi w:val="0"/>
        <w:adjustRightInd/>
        <w:snapToGrid/>
        <w:spacing w:line="560" w:lineRule="exact"/>
        <w:ind w:firstLine="722" w:firstLineChars="200"/>
        <w:textAlignment w:val="auto"/>
        <w:rPr>
          <w:rFonts w:hint="eastAsia" w:ascii="楷体_GB2312" w:hAnsi="楷体_GB2312" w:eastAsia="楷体_GB2312" w:cs="楷体_GB2312"/>
          <w:b/>
          <w:bCs/>
          <w:sz w:val="36"/>
          <w:szCs w:val="36"/>
        </w:rPr>
      </w:pPr>
      <w:r>
        <w:rPr>
          <w:rFonts w:hint="eastAsia" w:ascii="楷体_GB2312" w:hAnsi="楷体_GB2312" w:eastAsia="楷体_GB2312" w:cs="楷体_GB2312"/>
          <w:b/>
          <w:bCs/>
          <w:sz w:val="36"/>
          <w:szCs w:val="36"/>
        </w:rPr>
        <w:t>（三）致力培育</w:t>
      </w:r>
      <w:r>
        <w:rPr>
          <w:rFonts w:hint="eastAsia" w:ascii="楷体_GB2312" w:hAnsi="楷体_GB2312" w:eastAsia="楷体_GB2312" w:cs="楷体_GB2312"/>
          <w:b/>
          <w:bCs/>
          <w:sz w:val="36"/>
          <w:szCs w:val="36"/>
          <w:lang w:eastAsia="zh-CN"/>
        </w:rPr>
        <w:t>康复辅具</w:t>
      </w:r>
      <w:r>
        <w:rPr>
          <w:rFonts w:hint="eastAsia" w:ascii="楷体_GB2312" w:hAnsi="楷体_GB2312" w:eastAsia="楷体_GB2312" w:cs="楷体_GB2312"/>
          <w:b/>
          <w:bCs/>
          <w:sz w:val="36"/>
          <w:szCs w:val="36"/>
        </w:rPr>
        <w:t>产业基础</w:t>
      </w:r>
    </w:p>
    <w:p>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依托三明装备制造、新材料、文旅康养、竹木等产业基础，聚焦山区刚需产品，</w:t>
      </w:r>
      <w:r>
        <w:rPr>
          <w:rFonts w:hint="eastAsia" w:ascii="仿宋_GB2312" w:hAnsi="仿宋_GB2312" w:eastAsia="仿宋_GB2312" w:cs="仿宋_GB2312"/>
          <w:sz w:val="36"/>
          <w:szCs w:val="36"/>
          <w:lang w:eastAsia="zh-CN"/>
        </w:rPr>
        <w:t>大力</w:t>
      </w:r>
      <w:r>
        <w:rPr>
          <w:rFonts w:hint="eastAsia" w:ascii="仿宋_GB2312" w:hAnsi="仿宋_GB2312" w:eastAsia="仿宋_GB2312" w:cs="仿宋_GB2312"/>
          <w:sz w:val="36"/>
          <w:szCs w:val="36"/>
        </w:rPr>
        <w:t>培育和引进康复辅具及配套企业等市场主体，补齐制造短板。</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2" w:firstLineChars="200"/>
        <w:jc w:val="both"/>
        <w:textAlignment w:val="auto"/>
        <w:rPr>
          <w:rFonts w:hint="eastAsia" w:ascii="仿宋_GB2312" w:hAnsi="仿宋_GB2312" w:eastAsia="仿宋_GB2312" w:cs="仿宋_GB2312"/>
          <w:sz w:val="36"/>
          <w:szCs w:val="36"/>
        </w:rPr>
      </w:pPr>
      <w:r>
        <w:rPr>
          <w:rFonts w:hint="eastAsia" w:ascii="仿宋_GB2312" w:hAnsi="仿宋_GB2312" w:eastAsia="仿宋_GB2312" w:cs="仿宋_GB2312"/>
          <w:b/>
          <w:bCs/>
          <w:sz w:val="36"/>
          <w:szCs w:val="36"/>
          <w:lang w:val="en-US" w:eastAsia="zh-CN"/>
        </w:rPr>
        <w:t>1.</w:t>
      </w:r>
      <w:r>
        <w:rPr>
          <w:rFonts w:hint="eastAsia" w:ascii="仿宋_GB2312" w:hAnsi="仿宋_GB2312" w:eastAsia="仿宋_GB2312" w:cs="仿宋_GB2312"/>
          <w:b/>
          <w:bCs/>
          <w:sz w:val="36"/>
          <w:szCs w:val="36"/>
        </w:rPr>
        <w:t>聚焦重点康复辅具产品。</w:t>
      </w:r>
      <w:r>
        <w:rPr>
          <w:rFonts w:hint="eastAsia" w:ascii="仿宋_GB2312" w:hAnsi="仿宋_GB2312" w:eastAsia="仿宋_GB2312" w:cs="仿宋_GB2312"/>
          <w:sz w:val="36"/>
          <w:szCs w:val="36"/>
          <w:lang w:val="en-US" w:eastAsia="zh-CN"/>
        </w:rPr>
        <w:t>一是基础康复与助行器具。依托竹木产业、机械加工产业优势，重点研发生产护理床、无障碍家居、助行器、拐杖、防滑辅具等环保化、轻量化、高性价比民生类产品，夯实产业基本盘。二是山区适用智能康复辅具。立足石墨烯产业基础，聚焦石墨烯新材料在康复辅具产品中的应用，重点研发生产石墨烯护膝、护腕、护腰等关节康复护具，石墨烯理疗贴、热敷眼罩等缓解疲劳产品，以及石墨烯理疗床垫、坐垫等预防褥疮恒温辅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2" w:firstLineChars="200"/>
        <w:jc w:val="both"/>
        <w:textAlignment w:val="auto"/>
        <w:rPr>
          <w:rFonts w:hint="eastAsia" w:ascii="仿宋_GB2312" w:hAnsi="仿宋_GB2312" w:eastAsia="仿宋_GB2312" w:cs="仿宋_GB2312"/>
          <w:b w:val="0"/>
          <w:bCs w:val="0"/>
          <w:color w:val="000000"/>
          <w:sz w:val="36"/>
          <w:szCs w:val="36"/>
          <w:lang w:val="en-US" w:eastAsia="zh-CN"/>
        </w:rPr>
      </w:pPr>
      <w:r>
        <w:rPr>
          <w:rFonts w:hint="eastAsia" w:ascii="仿宋_GB2312" w:hAnsi="仿宋_GB2312" w:eastAsia="仿宋_GB2312" w:cs="仿宋_GB2312"/>
          <w:b/>
          <w:bCs/>
          <w:sz w:val="36"/>
          <w:szCs w:val="36"/>
          <w:lang w:val="en-US" w:eastAsia="zh-CN"/>
        </w:rPr>
        <w:t>2.</w:t>
      </w:r>
      <w:r>
        <w:rPr>
          <w:rFonts w:hint="eastAsia" w:ascii="仿宋_GB2312" w:hAnsi="仿宋_GB2312" w:eastAsia="仿宋_GB2312" w:cs="仿宋_GB2312"/>
          <w:b/>
          <w:bCs/>
          <w:sz w:val="36"/>
          <w:szCs w:val="36"/>
        </w:rPr>
        <w:t>打造三大产业集聚区。</w:t>
      </w:r>
      <w:r>
        <w:rPr>
          <w:rFonts w:hint="eastAsia" w:ascii="仿宋_GB2312" w:hAnsi="仿宋_GB2312" w:eastAsia="仿宋_GB2312" w:cs="仿宋_GB2312"/>
          <w:b w:val="0"/>
          <w:bCs w:val="0"/>
          <w:sz w:val="36"/>
          <w:szCs w:val="36"/>
          <w:lang w:val="en-US" w:eastAsia="zh-CN"/>
        </w:rPr>
        <w:t>一</w:t>
      </w:r>
      <w:r>
        <w:rPr>
          <w:rFonts w:hint="eastAsia" w:ascii="仿宋_GB2312" w:hAnsi="仿宋_GB2312" w:eastAsia="仿宋_GB2312" w:cs="仿宋_GB2312"/>
          <w:b w:val="0"/>
          <w:bCs w:val="0"/>
          <w:color w:val="000000"/>
          <w:sz w:val="36"/>
          <w:szCs w:val="36"/>
          <w:lang w:val="en-US" w:eastAsia="zh-CN"/>
        </w:rPr>
        <w:t>是生态</w:t>
      </w:r>
      <w:r>
        <w:rPr>
          <w:rFonts w:hint="eastAsia" w:ascii="仿宋_GB2312" w:hAnsi="仿宋_GB2312" w:eastAsia="仿宋_GB2312" w:cs="仿宋_GB2312"/>
          <w:color w:val="000000"/>
          <w:sz w:val="36"/>
          <w:szCs w:val="36"/>
          <w:lang w:val="en-US" w:eastAsia="zh-CN"/>
        </w:rPr>
        <w:t>新城数字康复创新集聚</w:t>
      </w:r>
      <w:r>
        <w:rPr>
          <w:rFonts w:hint="eastAsia" w:ascii="仿宋_GB2312" w:hAnsi="仿宋_GB2312" w:eastAsia="仿宋_GB2312" w:cs="仿宋_GB2312"/>
          <w:b w:val="0"/>
          <w:bCs w:val="0"/>
          <w:color w:val="000000"/>
          <w:sz w:val="36"/>
          <w:szCs w:val="36"/>
          <w:lang w:val="en-US" w:eastAsia="zh-CN"/>
        </w:rPr>
        <w:t>区。依托三明中关村科技园、医疗器械产业园，聚焦数字康复、智能康复辅具、远程康复设备开展研发与生产，重点发展高技术、高附加值产品。二是永安石墨烯康复辅具集聚区。立足永安石墨与石墨烯产业园，围绕石墨烯热敷、恒温康复辅具产品，鼓励园区企业与传统辅具企业合作，开展石墨烯+辅具产品研发和生产。三是尤溪-永安竹木辅具集聚区。以尤溪竹木加工区、永安闽台融合发展（林竹）产业园为核心，培育壮大现有竹木产业重点企业，重点承接竹木制生活护理辅具、移动助行辅具、无障碍家居产品等成品或配套零部件的生产制造。</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722" w:firstLineChars="200"/>
        <w:jc w:val="both"/>
        <w:textAlignment w:val="auto"/>
        <w:rPr>
          <w:rFonts w:hint="eastAsia" w:ascii="楷体_GB2312" w:hAnsi="楷体_GB2312" w:eastAsia="楷体_GB2312" w:cs="楷体_GB2312"/>
          <w:b/>
          <w:bCs/>
          <w:color w:val="000000"/>
          <w:kern w:val="0"/>
          <w:sz w:val="36"/>
          <w:szCs w:val="36"/>
          <w:lang w:val="en-US" w:eastAsia="zh-CN" w:bidi="ar"/>
        </w:rPr>
      </w:pPr>
      <w:r>
        <w:rPr>
          <w:rFonts w:hint="eastAsia" w:ascii="楷体_GB2312" w:hAnsi="楷体_GB2312" w:eastAsia="楷体_GB2312" w:cs="楷体_GB2312"/>
          <w:b/>
          <w:bCs/>
          <w:color w:val="000000"/>
          <w:kern w:val="0"/>
          <w:sz w:val="36"/>
          <w:szCs w:val="36"/>
          <w:lang w:val="en-US" w:eastAsia="zh-CN" w:bidi="ar"/>
        </w:rPr>
        <w:t>（四）加强创新赋能促进成果转化</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0" w:firstLineChars="200"/>
        <w:jc w:val="both"/>
        <w:textAlignment w:val="auto"/>
        <w:rPr>
          <w:rFonts w:hint="eastAsia" w:ascii="仿宋_GB2312" w:hAnsi="仿宋_GB2312" w:eastAsia="仿宋_GB2312" w:cs="仿宋_GB2312"/>
          <w:color w:val="000000"/>
          <w:sz w:val="36"/>
          <w:szCs w:val="36"/>
          <w:lang w:val="en-US" w:eastAsia="zh-CN"/>
        </w:rPr>
      </w:pPr>
      <w:r>
        <w:rPr>
          <w:rFonts w:hint="eastAsia" w:ascii="仿宋_GB2312" w:hAnsi="仿宋_GB2312" w:eastAsia="仿宋_GB2312" w:cs="仿宋_GB2312"/>
          <w:color w:val="000000"/>
          <w:sz w:val="36"/>
          <w:szCs w:val="36"/>
          <w:lang w:val="en-US" w:eastAsia="zh-CN"/>
        </w:rPr>
        <w:t>搭建创新平台，攻坚核心技术，打通从实验室样品到生产线产品再到市场商品的转化通道。</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2" w:firstLineChars="200"/>
        <w:jc w:val="both"/>
        <w:textAlignment w:val="auto"/>
        <w:rPr>
          <w:rFonts w:hint="eastAsia" w:ascii="仿宋_GB2312" w:hAnsi="仿宋_GB2312" w:eastAsia="仿宋_GB2312" w:cs="仿宋_GB2312"/>
          <w:color w:val="000000"/>
          <w:sz w:val="36"/>
          <w:szCs w:val="36"/>
          <w:lang w:val="en-US" w:eastAsia="zh-CN"/>
        </w:rPr>
      </w:pPr>
      <w:r>
        <w:rPr>
          <w:rFonts w:hint="eastAsia" w:ascii="仿宋_GB2312" w:hAnsi="仿宋_GB2312" w:eastAsia="仿宋_GB2312" w:cs="仿宋_GB2312"/>
          <w:b/>
          <w:bCs/>
          <w:color w:val="000000"/>
          <w:sz w:val="36"/>
          <w:szCs w:val="36"/>
          <w:lang w:val="en-US" w:eastAsia="zh-CN"/>
        </w:rPr>
        <w:t>1.搭建科创研发载体。</w:t>
      </w:r>
      <w:r>
        <w:rPr>
          <w:rFonts w:hint="eastAsia" w:ascii="仿宋_GB2312" w:hAnsi="仿宋_GB2312" w:eastAsia="仿宋_GB2312" w:cs="仿宋_GB2312"/>
          <w:color w:val="000000"/>
          <w:sz w:val="36"/>
          <w:szCs w:val="36"/>
          <w:lang w:val="en-US" w:eastAsia="zh-CN"/>
        </w:rPr>
        <w:t>分类精准摸清不同功能障碍群体对康复辅具的需求，积极推动三明学院、三明医学科技职业学院、医疗机构、产业相关企业，与清华大学、同济大学、福州大学、福建医科大学等高校、科研院所合作，开展联合攻关。</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2" w:firstLineChars="200"/>
        <w:jc w:val="both"/>
        <w:textAlignment w:val="auto"/>
        <w:rPr>
          <w:rFonts w:hint="eastAsia" w:ascii="仿宋_GB2312" w:hAnsi="仿宋_GB2312" w:eastAsia="仿宋_GB2312" w:cs="仿宋_GB2312"/>
          <w:color w:val="000000"/>
          <w:sz w:val="36"/>
          <w:szCs w:val="36"/>
          <w:lang w:val="en-US" w:eastAsia="zh-CN"/>
        </w:rPr>
      </w:pPr>
      <w:r>
        <w:rPr>
          <w:rFonts w:hint="eastAsia" w:ascii="仿宋_GB2312" w:hAnsi="仿宋_GB2312" w:eastAsia="仿宋_GB2312" w:cs="仿宋_GB2312"/>
          <w:b/>
          <w:bCs/>
          <w:color w:val="000000"/>
          <w:sz w:val="36"/>
          <w:szCs w:val="36"/>
          <w:lang w:val="en-US" w:eastAsia="zh-CN"/>
        </w:rPr>
        <w:t>2.畅通科技成果转化渠道。</w:t>
      </w:r>
      <w:r>
        <w:rPr>
          <w:rFonts w:hint="eastAsia" w:ascii="仿宋_GB2312" w:hAnsi="仿宋_GB2312" w:eastAsia="仿宋_GB2312" w:cs="仿宋_GB2312"/>
          <w:color w:val="000000"/>
          <w:sz w:val="36"/>
          <w:szCs w:val="36"/>
          <w:lang w:val="en-US" w:eastAsia="zh-CN"/>
        </w:rPr>
        <w:t>落实科技成果转化奖励政策，促进相关康复辅具产业化转化项目落地。依托基层服务站点、康养机构设立产品体验销售点，收集使用反馈，迭代优化产品设计。</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722" w:firstLineChars="200"/>
        <w:jc w:val="both"/>
        <w:textAlignment w:val="auto"/>
        <w:rPr>
          <w:rFonts w:hint="eastAsia" w:ascii="楷体_GB2312" w:hAnsi="楷体_GB2312" w:eastAsia="楷体_GB2312" w:cs="楷体_GB2312"/>
          <w:b/>
          <w:bCs/>
          <w:color w:val="000000"/>
          <w:kern w:val="0"/>
          <w:sz w:val="36"/>
          <w:szCs w:val="36"/>
          <w:lang w:val="en-US" w:eastAsia="zh-CN" w:bidi="ar"/>
        </w:rPr>
      </w:pPr>
      <w:r>
        <w:rPr>
          <w:rFonts w:hint="eastAsia" w:ascii="楷体_GB2312" w:hAnsi="楷体_GB2312" w:eastAsia="楷体_GB2312" w:cs="楷体_GB2312"/>
          <w:b/>
          <w:bCs/>
          <w:color w:val="000000"/>
          <w:kern w:val="0"/>
          <w:sz w:val="36"/>
          <w:szCs w:val="36"/>
          <w:lang w:val="en-US" w:eastAsia="zh-CN" w:bidi="ar"/>
        </w:rPr>
        <w:t>（五）完善多元化政策支持体系</w:t>
      </w:r>
    </w:p>
    <w:p>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eastAsia" w:ascii="仿宋_GB2312" w:hAnsi="仿宋_GB2312" w:eastAsia="仿宋_GB2312" w:cs="仿宋_GB2312"/>
          <w:sz w:val="36"/>
          <w:szCs w:val="36"/>
        </w:rPr>
      </w:pPr>
      <w:r>
        <w:rPr>
          <w:rFonts w:hint="eastAsia" w:ascii="仿宋_GB2312" w:hAnsi="仿宋_GB2312" w:eastAsia="仿宋_GB2312" w:cs="仿宋_GB2312"/>
          <w:sz w:val="36"/>
          <w:szCs w:val="36"/>
          <w:lang w:val="en-US" w:eastAsia="zh-CN"/>
        </w:rPr>
        <w:t>构建多元化支付与政策支撑体系，在推进落实既有政策基础上，同步探索创新各类扶持政策，释放产业发展活力。</w:t>
      </w:r>
    </w:p>
    <w:p>
      <w:pPr>
        <w:keepNext w:val="0"/>
        <w:keepLines w:val="0"/>
        <w:pageBreakBefore w:val="0"/>
        <w:widowControl w:val="0"/>
        <w:kinsoku/>
        <w:wordWrap/>
        <w:overflowPunct/>
        <w:topLinePunct w:val="0"/>
        <w:autoSpaceDE/>
        <w:autoSpaceDN/>
        <w:bidi w:val="0"/>
        <w:adjustRightInd/>
        <w:snapToGrid/>
        <w:spacing w:line="560" w:lineRule="exact"/>
        <w:ind w:firstLine="722" w:firstLineChars="200"/>
        <w:textAlignment w:val="auto"/>
        <w:rPr>
          <w:rFonts w:hint="eastAsia" w:ascii="仿宋_GB2312" w:hAnsi="仿宋_GB2312" w:eastAsia="仿宋_GB2312" w:cs="仿宋_GB2312"/>
          <w:sz w:val="36"/>
          <w:szCs w:val="36"/>
        </w:rPr>
      </w:pPr>
      <w:r>
        <w:rPr>
          <w:rFonts w:hint="eastAsia" w:ascii="仿宋_GB2312" w:hAnsi="仿宋_GB2312" w:eastAsia="仿宋_GB2312" w:cs="仿宋_GB2312"/>
          <w:b/>
          <w:bCs/>
          <w:sz w:val="36"/>
          <w:szCs w:val="36"/>
          <w:lang w:val="en-US" w:eastAsia="zh-CN"/>
        </w:rPr>
        <w:t>1.</w:t>
      </w:r>
      <w:r>
        <w:rPr>
          <w:rFonts w:hint="eastAsia" w:ascii="仿宋_GB2312" w:hAnsi="仿宋_GB2312" w:eastAsia="仿宋_GB2312" w:cs="仿宋_GB2312"/>
          <w:b/>
          <w:bCs/>
          <w:sz w:val="36"/>
          <w:szCs w:val="36"/>
        </w:rPr>
        <w:t>完善支付保障机制。</w:t>
      </w:r>
      <w:r>
        <w:rPr>
          <w:rFonts w:hint="eastAsia" w:ascii="仿宋_GB2312" w:hAnsi="仿宋_GB2312" w:eastAsia="仿宋_GB2312" w:cs="仿宋_GB2312"/>
          <w:sz w:val="36"/>
          <w:szCs w:val="36"/>
        </w:rPr>
        <w:t>规范和加强残疾人基本型辅助器具</w:t>
      </w:r>
      <w:r>
        <w:rPr>
          <w:rFonts w:hint="eastAsia" w:ascii="仿宋_GB2312" w:hAnsi="仿宋_GB2312" w:eastAsia="仿宋_GB2312" w:cs="仿宋_GB2312"/>
          <w:sz w:val="36"/>
          <w:szCs w:val="36"/>
          <w:lang w:eastAsia="zh-CN"/>
        </w:rPr>
        <w:t>配置</w:t>
      </w:r>
      <w:r>
        <w:rPr>
          <w:rFonts w:hint="eastAsia" w:ascii="仿宋_GB2312" w:hAnsi="仿宋_GB2312" w:eastAsia="仿宋_GB2312" w:cs="仿宋_GB2312"/>
          <w:sz w:val="36"/>
          <w:szCs w:val="36"/>
        </w:rPr>
        <w:t>服务补贴制度，推动将符合条件的治疗性康复辅具按程序纳入基本医疗保险支付范围，适时调整完善工伤保险辅助器具配置目录；积极争取将长期护理相关智能化服务和支持性辅助器具纳入长期护理保险支付范围。开展康复辅具支付比例情况调研，明确在</w:t>
      </w:r>
      <w:r>
        <w:rPr>
          <w:rFonts w:hint="eastAsia" w:ascii="仿宋_GB2312" w:hAnsi="仿宋_GB2312" w:eastAsia="仿宋_GB2312" w:cs="仿宋_GB2312"/>
          <w:sz w:val="36"/>
          <w:szCs w:val="36"/>
          <w:lang w:eastAsia="zh-CN"/>
        </w:rPr>
        <w:t>各类</w:t>
      </w:r>
      <w:r>
        <w:rPr>
          <w:rFonts w:hint="eastAsia" w:ascii="仿宋_GB2312" w:hAnsi="仿宋_GB2312" w:eastAsia="仿宋_GB2312" w:cs="仿宋_GB2312"/>
          <w:sz w:val="36"/>
          <w:szCs w:val="36"/>
        </w:rPr>
        <w:t>保险</w:t>
      </w:r>
      <w:r>
        <w:rPr>
          <w:rFonts w:hint="eastAsia" w:ascii="仿宋_GB2312" w:hAnsi="仿宋_GB2312" w:eastAsia="仿宋_GB2312" w:cs="仿宋_GB2312"/>
          <w:sz w:val="36"/>
          <w:szCs w:val="36"/>
          <w:lang w:eastAsia="zh-CN"/>
        </w:rPr>
        <w:t>政策和</w:t>
      </w:r>
      <w:r>
        <w:rPr>
          <w:rFonts w:hint="eastAsia" w:ascii="仿宋_GB2312" w:hAnsi="仿宋_GB2312" w:eastAsia="仿宋_GB2312" w:cs="仿宋_GB2312"/>
          <w:sz w:val="36"/>
          <w:szCs w:val="36"/>
        </w:rPr>
        <w:t>残疾人基本型辅具补贴等政策工具使用之后的个人自付比例情况</w:t>
      </w:r>
      <w:r>
        <w:rPr>
          <w:rFonts w:hint="eastAsia" w:ascii="仿宋_GB2312" w:hAnsi="仿宋_GB2312" w:eastAsia="仿宋_GB2312" w:cs="仿宋_GB2312"/>
          <w:sz w:val="36"/>
          <w:szCs w:val="36"/>
          <w:highlight w:val="none"/>
          <w:lang w:eastAsia="zh-CN"/>
        </w:rPr>
        <w:t>。</w:t>
      </w:r>
      <w:r>
        <w:rPr>
          <w:rFonts w:hint="eastAsia" w:ascii="仿宋_GB2312" w:hAnsi="仿宋_GB2312" w:eastAsia="仿宋_GB2312" w:cs="仿宋_GB2312"/>
          <w:sz w:val="36"/>
          <w:szCs w:val="36"/>
        </w:rPr>
        <w:t>研究设立康复辅具使用保障补贴政策</w:t>
      </w:r>
      <w:r>
        <w:rPr>
          <w:rFonts w:hint="eastAsia" w:ascii="仿宋_GB2312" w:hAnsi="仿宋_GB2312" w:eastAsia="仿宋_GB2312" w:cs="仿宋_GB2312"/>
          <w:sz w:val="36"/>
          <w:szCs w:val="36"/>
          <w:lang w:eastAsia="zh-CN"/>
        </w:rPr>
        <w:t>，尽可能降低群众自付比例，进一步减轻群众负担</w:t>
      </w:r>
      <w:r>
        <w:rPr>
          <w:rFonts w:hint="eastAsia" w:ascii="仿宋_GB2312" w:hAnsi="仿宋_GB2312" w:eastAsia="仿宋_GB2312" w:cs="仿宋_GB2312"/>
          <w:sz w:val="36"/>
          <w:szCs w:val="36"/>
        </w:rPr>
        <w:t>。</w:t>
      </w:r>
    </w:p>
    <w:p>
      <w:pPr>
        <w:keepNext w:val="0"/>
        <w:keepLines w:val="0"/>
        <w:pageBreakBefore w:val="0"/>
        <w:widowControl w:val="0"/>
        <w:kinsoku/>
        <w:wordWrap/>
        <w:overflowPunct/>
        <w:topLinePunct w:val="0"/>
        <w:autoSpaceDE/>
        <w:autoSpaceDN/>
        <w:bidi w:val="0"/>
        <w:adjustRightInd/>
        <w:snapToGrid/>
        <w:spacing w:line="560" w:lineRule="exact"/>
        <w:ind w:firstLine="722" w:firstLineChars="200"/>
        <w:textAlignment w:val="auto"/>
        <w:rPr>
          <w:rFonts w:hint="eastAsia" w:ascii="仿宋_GB2312" w:hAnsi="仿宋_GB2312" w:eastAsia="仿宋_GB2312" w:cs="仿宋_GB2312"/>
          <w:b/>
          <w:bCs/>
          <w:sz w:val="36"/>
          <w:szCs w:val="36"/>
          <w:lang w:val="en-US" w:eastAsia="zh-CN"/>
        </w:rPr>
      </w:pPr>
      <w:r>
        <w:rPr>
          <w:rFonts w:hint="eastAsia" w:ascii="仿宋_GB2312" w:hAnsi="仿宋_GB2312" w:eastAsia="仿宋_GB2312" w:cs="仿宋_GB2312"/>
          <w:b/>
          <w:bCs/>
          <w:sz w:val="36"/>
          <w:szCs w:val="36"/>
          <w:lang w:val="en-US" w:eastAsia="zh-CN"/>
        </w:rPr>
        <w:t>2.提振消费潜力。</w:t>
      </w:r>
      <w:r>
        <w:rPr>
          <w:rFonts w:hint="eastAsia" w:ascii="仿宋_GB2312" w:hAnsi="仿宋_GB2312" w:eastAsia="仿宋_GB2312" w:cs="仿宋_GB2312"/>
          <w:sz w:val="36"/>
          <w:szCs w:val="36"/>
          <w:lang w:val="en-US" w:eastAsia="zh-CN"/>
        </w:rPr>
        <w:t>结合深入实施提振消费专项行动和绿色消费推进行动，将康复辅具产品作为推进适老化改造、银发消费和绿色、智能、适老产品消费的重要内容，进一步释放消费潜力。将康复辅具租赁服务纳入向中度失能以上老年人发放养老服务消费补贴项目支持范围，并明确具体辅具品类名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2" w:firstLineChars="200"/>
        <w:jc w:val="both"/>
        <w:textAlignment w:val="auto"/>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b/>
          <w:bCs/>
          <w:color w:val="000000"/>
          <w:sz w:val="36"/>
          <w:szCs w:val="36"/>
          <w:lang w:val="en-US" w:eastAsia="zh-CN"/>
        </w:rPr>
        <w:t>3.加强财税金融与公益支持。</w:t>
      </w:r>
      <w:r>
        <w:rPr>
          <w:rFonts w:hint="eastAsia" w:ascii="仿宋_GB2312" w:hAnsi="仿宋_GB2312" w:eastAsia="仿宋_GB2312" w:cs="仿宋_GB2312"/>
          <w:sz w:val="36"/>
          <w:szCs w:val="36"/>
          <w:lang w:val="en-US" w:eastAsia="zh-CN"/>
        </w:rPr>
        <w:t>按规定落实残疾人专用品进口免税、伤残人员用品生产企业免征企业所得税、研发费用税前加计扣除等政策，对康复辅具服务、租赁企业落实各类税费优惠。鼓励金融机构推出康复辅具消费信贷、租赁金融产品；引导鼓励商业保险公司开发与康复辅具配置相关的健康保险、意外伤害保险等产品；鼓励公益慈善组织参与，为困难群众租赁配置康复辅具提供资助支持。</w:t>
      </w:r>
    </w:p>
    <w:p>
      <w:pPr>
        <w:keepNext w:val="0"/>
        <w:keepLines w:val="0"/>
        <w:pageBreakBefore w:val="0"/>
        <w:widowControl w:val="0"/>
        <w:kinsoku/>
        <w:wordWrap/>
        <w:overflowPunct/>
        <w:topLinePunct w:val="0"/>
        <w:autoSpaceDE/>
        <w:autoSpaceDN/>
        <w:bidi w:val="0"/>
        <w:adjustRightInd/>
        <w:snapToGrid/>
        <w:spacing w:line="560" w:lineRule="exact"/>
        <w:ind w:firstLine="722" w:firstLineChars="200"/>
        <w:textAlignment w:val="auto"/>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b/>
          <w:bCs/>
          <w:sz w:val="36"/>
          <w:szCs w:val="36"/>
          <w:lang w:val="en-US" w:eastAsia="zh-CN"/>
        </w:rPr>
        <w:t>4.建立跨部门协同机制。</w:t>
      </w:r>
      <w:r>
        <w:rPr>
          <w:rFonts w:hint="eastAsia" w:ascii="仿宋_GB2312" w:hAnsi="仿宋_GB2312" w:eastAsia="仿宋_GB2312" w:cs="仿宋_GB2312"/>
          <w:sz w:val="36"/>
          <w:szCs w:val="36"/>
          <w:lang w:val="en-US" w:eastAsia="zh-CN"/>
        </w:rPr>
        <w:t>破解康复辅具工作涉及多部门、政策衔接不畅等问题，推动建立跨部门协同机制，统一辅具目录、统一评估标准、统一补贴政策，实现“一次评估、多部门互认、政策叠加享受”。重点打通民政养老服务、残联辅具补贴、医保康复项目的政策壁垒，形成政策合力。</w:t>
      </w:r>
    </w:p>
    <w:p>
      <w:pPr>
        <w:keepNext w:val="0"/>
        <w:keepLines w:val="0"/>
        <w:pageBreakBefore w:val="0"/>
        <w:widowControl w:val="0"/>
        <w:kinsoku/>
        <w:wordWrap/>
        <w:overflowPunct/>
        <w:topLinePunct w:val="0"/>
        <w:autoSpaceDE/>
        <w:autoSpaceDN/>
        <w:bidi w:val="0"/>
        <w:adjustRightInd/>
        <w:snapToGrid/>
        <w:spacing w:line="560" w:lineRule="exact"/>
        <w:ind w:firstLine="722" w:firstLineChars="200"/>
        <w:textAlignment w:val="auto"/>
        <w:rPr>
          <w:rFonts w:hint="eastAsia" w:ascii="楷体_GB2312" w:hAnsi="楷体_GB2312" w:eastAsia="楷体_GB2312" w:cs="楷体_GB2312"/>
          <w:b/>
          <w:bCs/>
          <w:sz w:val="36"/>
          <w:szCs w:val="36"/>
        </w:rPr>
      </w:pPr>
      <w:r>
        <w:rPr>
          <w:rFonts w:hint="eastAsia" w:ascii="楷体_GB2312" w:hAnsi="楷体_GB2312" w:eastAsia="楷体_GB2312" w:cs="楷体_GB2312"/>
          <w:b/>
          <w:bCs/>
          <w:sz w:val="36"/>
          <w:szCs w:val="36"/>
          <w:highlight w:val="none"/>
        </w:rPr>
        <w:t>（</w:t>
      </w:r>
      <w:r>
        <w:rPr>
          <w:rFonts w:hint="eastAsia" w:ascii="楷体_GB2312" w:hAnsi="楷体_GB2312" w:eastAsia="楷体_GB2312" w:cs="楷体_GB2312"/>
          <w:b/>
          <w:bCs/>
          <w:sz w:val="36"/>
          <w:szCs w:val="36"/>
          <w:highlight w:val="none"/>
          <w:lang w:eastAsia="zh-CN"/>
        </w:rPr>
        <w:t>六</w:t>
      </w:r>
      <w:r>
        <w:rPr>
          <w:rFonts w:hint="eastAsia" w:ascii="楷体_GB2312" w:hAnsi="楷体_GB2312" w:eastAsia="楷体_GB2312" w:cs="楷体_GB2312"/>
          <w:b/>
          <w:bCs/>
          <w:sz w:val="36"/>
          <w:szCs w:val="36"/>
          <w:highlight w:val="none"/>
        </w:rPr>
        <w:t>）</w:t>
      </w:r>
      <w:r>
        <w:rPr>
          <w:rFonts w:hint="eastAsia" w:ascii="楷体_GB2312" w:hAnsi="楷体_GB2312" w:eastAsia="楷体_GB2312" w:cs="楷体_GB2312"/>
          <w:b/>
          <w:bCs/>
          <w:sz w:val="36"/>
          <w:szCs w:val="36"/>
          <w:highlight w:val="none"/>
          <w:lang w:eastAsia="zh-CN"/>
        </w:rPr>
        <w:t>加强</w:t>
      </w:r>
      <w:r>
        <w:rPr>
          <w:rFonts w:hint="eastAsia" w:ascii="楷体_GB2312" w:hAnsi="楷体_GB2312" w:eastAsia="楷体_GB2312" w:cs="楷体_GB2312"/>
          <w:b/>
          <w:bCs/>
          <w:sz w:val="36"/>
          <w:szCs w:val="36"/>
        </w:rPr>
        <w:t>行业标准质量监管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0" w:firstLineChars="200"/>
        <w:jc w:val="both"/>
        <w:textAlignment w:val="auto"/>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健全行业标准体系，实施全链条监管，建强专业人才队伍，推动行业规范有序发展。</w:t>
      </w:r>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722" w:firstLineChars="200"/>
        <w:jc w:val="both"/>
        <w:textAlignment w:val="auto"/>
        <w:rPr>
          <w:rFonts w:hint="eastAsia" w:ascii="仿宋_GB2312" w:hAnsi="仿宋_GB2312" w:eastAsia="仿宋_GB2312" w:cs="仿宋_GB2312"/>
          <w:sz w:val="36"/>
          <w:szCs w:val="36"/>
        </w:rPr>
      </w:pPr>
      <w:r>
        <w:rPr>
          <w:rFonts w:hint="eastAsia" w:ascii="仿宋_GB2312" w:hAnsi="仿宋_GB2312" w:eastAsia="仿宋_GB2312" w:cs="仿宋_GB2312"/>
          <w:b/>
          <w:bCs/>
          <w:sz w:val="36"/>
          <w:szCs w:val="36"/>
          <w:lang w:val="en-US" w:eastAsia="zh-CN"/>
        </w:rPr>
        <w:t>1.</w:t>
      </w:r>
      <w:r>
        <w:rPr>
          <w:rFonts w:hint="eastAsia" w:ascii="仿宋_GB2312" w:hAnsi="仿宋_GB2312" w:eastAsia="仿宋_GB2312" w:cs="仿宋_GB2312"/>
          <w:b/>
          <w:bCs/>
          <w:sz w:val="36"/>
          <w:szCs w:val="36"/>
        </w:rPr>
        <w:t>健全行业标准规范。</w:t>
      </w:r>
      <w:r>
        <w:rPr>
          <w:rFonts w:hint="eastAsia" w:ascii="仿宋_GB2312" w:hAnsi="仿宋_GB2312" w:eastAsia="仿宋_GB2312" w:cs="仿宋_GB2312"/>
          <w:kern w:val="0"/>
          <w:sz w:val="36"/>
          <w:szCs w:val="36"/>
          <w:lang w:val="en-US" w:eastAsia="zh-CN"/>
        </w:rPr>
        <w:t>结合山区服务特点，2028年底前基本建成康复辅具评估、配置、租赁、回收、维保等地方服务标准体系，推行服务档案全程管理。依托《中国康复辅助器具目录》建立产品检测、质量分级、系统评价的认证机制，形成</w:t>
      </w:r>
      <w:r>
        <w:rPr>
          <w:rFonts w:hint="default" w:ascii="仿宋_GB2312" w:hAnsi="仿宋_GB2312" w:eastAsia="仿宋_GB2312" w:cs="仿宋_GB2312"/>
          <w:kern w:val="0"/>
          <w:sz w:val="36"/>
          <w:szCs w:val="36"/>
          <w:lang w:val="en-US" w:eastAsia="zh-CN"/>
        </w:rPr>
        <w:t>标准统一、对象明确、服务规范的产业规范</w:t>
      </w:r>
      <w:r>
        <w:rPr>
          <w:rFonts w:hint="eastAsia" w:ascii="仿宋_GB2312" w:hAnsi="仿宋_GB2312" w:eastAsia="仿宋_GB2312" w:cs="仿宋_GB2312"/>
          <w:kern w:val="0"/>
          <w:sz w:val="36"/>
          <w:szCs w:val="36"/>
          <w:lang w:val="en-US" w:eastAsia="zh-CN"/>
        </w:rPr>
        <w:t>，争取在明设立国家级康复辅具产品检验检测认证机构。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2" w:firstLineChars="200"/>
        <w:jc w:val="both"/>
        <w:textAlignment w:val="auto"/>
        <w:rPr>
          <w:rFonts w:hint="eastAsia" w:ascii="仿宋_GB2312" w:hAnsi="仿宋_GB2312" w:eastAsia="仿宋_GB2312" w:cs="仿宋_GB2312"/>
          <w:kern w:val="0"/>
          <w:sz w:val="36"/>
          <w:szCs w:val="36"/>
          <w:lang w:val="en-US" w:eastAsia="zh-CN" w:bidi="ar"/>
        </w:rPr>
      </w:pPr>
      <w:r>
        <w:rPr>
          <w:rFonts w:hint="eastAsia" w:ascii="仿宋_GB2312" w:hAnsi="仿宋_GB2312" w:cs="仿宋_GB2312"/>
          <w:b/>
          <w:bCs/>
          <w:color w:val="000000"/>
          <w:sz w:val="36"/>
          <w:szCs w:val="36"/>
          <w:lang w:val="en-US" w:eastAsia="zh-CN"/>
        </w:rPr>
        <w:t>2</w:t>
      </w:r>
      <w:r>
        <w:rPr>
          <w:rFonts w:hint="eastAsia" w:ascii="仿宋_GB2312" w:hAnsi="仿宋_GB2312" w:eastAsia="仿宋_GB2312" w:cs="仿宋_GB2312"/>
          <w:b/>
          <w:bCs/>
          <w:color w:val="000000"/>
          <w:sz w:val="36"/>
          <w:szCs w:val="36"/>
          <w:lang w:val="en-US" w:eastAsia="zh-CN"/>
        </w:rPr>
        <w:t>.实施全链条质量监管。</w:t>
      </w:r>
      <w:r>
        <w:rPr>
          <w:rFonts w:hint="eastAsia" w:ascii="仿宋_GB2312" w:hAnsi="仿宋_GB2312" w:eastAsia="仿宋_GB2312" w:cs="仿宋_GB2312"/>
          <w:kern w:val="0"/>
          <w:sz w:val="36"/>
          <w:szCs w:val="36"/>
          <w:lang w:val="en-US" w:eastAsia="zh-CN" w:bidi="ar"/>
        </w:rPr>
        <w:t>将康复辅具重点产品纳入产品质量安全监管和监督抽查计划，强化产品生产、销售、装配、服务全流程监管，常态化开展质量抽查、缺陷产品排查。加强对重点产品的监督抽查，建立企业信用名录，落实守信激励、失信惩戒，整治虚假宣传、假冒伪劣等行为。探索监管制度创新，优化康复辅具类医疗器械的监管制度，将部分低风险康复辅具二类医疗器械调整为一类备案管理，降低准入门槛，激发市场主体活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2" w:firstLineChars="200"/>
        <w:jc w:val="both"/>
        <w:textAlignment w:val="auto"/>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b/>
          <w:bCs/>
          <w:color w:val="000000"/>
          <w:sz w:val="36"/>
          <w:szCs w:val="36"/>
          <w:lang w:val="en-US" w:eastAsia="zh-CN"/>
        </w:rPr>
        <w:t>3.强化人才培训评价。</w:t>
      </w:r>
      <w:r>
        <w:rPr>
          <w:rFonts w:hint="eastAsia" w:ascii="仿宋_GB2312" w:hAnsi="仿宋_GB2312" w:eastAsia="仿宋_GB2312" w:cs="仿宋_GB2312"/>
          <w:sz w:val="36"/>
          <w:szCs w:val="36"/>
          <w:lang w:val="en-US" w:eastAsia="zh-CN"/>
        </w:rPr>
        <w:t>将康复辅具相关专业人才纳入大规模职业技能提升培训范围，推动康复辅具知识纳入养老护理员、老年人能力评估师、长期照护师、社区工作者、残疾人专职委员、乡村医生岗位培训内容。开展康复辅具工程技术人员职称评审，加大康复辅具咨询师等人才培养力度，开展假肢装配工、矫形器装配工、听力师专业技术人才评价工作，畅通全生命周期的职业发展通道。</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2" w:firstLineChars="200"/>
        <w:jc w:val="both"/>
        <w:textAlignment w:val="auto"/>
        <w:rPr>
          <w:rFonts w:hint="eastAsia" w:ascii="仿宋_GB2312" w:hAnsi="仿宋_GB2312" w:eastAsia="仿宋_GB2312" w:cs="仿宋_GB2312"/>
          <w:sz w:val="36"/>
          <w:szCs w:val="36"/>
          <w:lang w:val="en-US" w:eastAsia="zh-CN"/>
        </w:rPr>
      </w:pPr>
      <w:r>
        <w:rPr>
          <w:rFonts w:hint="eastAsia" w:ascii="仿宋_GB2312" w:hAnsi="仿宋_GB2312" w:cs="仿宋_GB2312"/>
          <w:b/>
          <w:bCs/>
          <w:color w:val="000000"/>
          <w:sz w:val="36"/>
          <w:szCs w:val="36"/>
          <w:lang w:val="en-US" w:eastAsia="zh-CN"/>
        </w:rPr>
        <w:t>4.</w:t>
      </w:r>
      <w:r>
        <w:rPr>
          <w:rFonts w:hint="eastAsia" w:ascii="仿宋_GB2312" w:hAnsi="仿宋_GB2312" w:eastAsia="仿宋_GB2312" w:cs="仿宋_GB2312"/>
          <w:b/>
          <w:bCs/>
          <w:color w:val="000000"/>
          <w:sz w:val="36"/>
          <w:szCs w:val="36"/>
          <w:lang w:val="en-US" w:eastAsia="zh-CN"/>
        </w:rPr>
        <w:t>建设信息平台提升监管效能。</w:t>
      </w:r>
      <w:r>
        <w:rPr>
          <w:rFonts w:hint="eastAsia" w:ascii="仿宋_GB2312" w:hAnsi="仿宋_GB2312" w:eastAsia="仿宋_GB2312" w:cs="仿宋_GB2312"/>
          <w:sz w:val="36"/>
          <w:szCs w:val="36"/>
          <w:lang w:val="en-US" w:eastAsia="zh-CN"/>
        </w:rPr>
        <w:t>建设康复辅具产品服务信息平台，归集康复辅具机构年度报告内容、服务质量等级评定与认证、标准实施情况等数据信息。建立信息联动机制，加强康复辅具机构登记、备案、监管抽查信息、消费者投诉举报、行政处罚等跨部门数据共用共享，以信息化提升监管精准度和效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2" w:firstLineChars="200"/>
        <w:jc w:val="both"/>
        <w:textAlignment w:val="auto"/>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b/>
          <w:bCs/>
          <w:color w:val="000000"/>
          <w:sz w:val="36"/>
          <w:szCs w:val="36"/>
          <w:lang w:val="en-US" w:eastAsia="zh-CN"/>
        </w:rPr>
        <w:t>5.强化统计宣传。</w:t>
      </w:r>
      <w:r>
        <w:rPr>
          <w:rFonts w:hint="eastAsia" w:ascii="仿宋_GB2312" w:hAnsi="仿宋_GB2312" w:eastAsia="仿宋_GB2312" w:cs="仿宋_GB2312"/>
          <w:sz w:val="36"/>
          <w:szCs w:val="36"/>
          <w:lang w:val="en-US" w:eastAsia="zh-CN"/>
        </w:rPr>
        <w:t>构建产业统计指标体系，完善统计调查、行政记录与行业统计相结合的信息采集机制，依托研究机构、行业协会依法依规发布行业运行统计监测分析。依托全国助残日、科普宣传周等节点，结合线上平台、线下体验销售中心普及辅具知识、政策与典型案例，提升社会认知度和群众接受度。</w:t>
      </w:r>
    </w:p>
    <w:p>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eastAsia" w:ascii="黑体" w:hAnsi="黑体" w:eastAsia="黑体" w:cs="黑体"/>
          <w:sz w:val="36"/>
          <w:szCs w:val="36"/>
        </w:rPr>
      </w:pPr>
      <w:r>
        <w:rPr>
          <w:rFonts w:hint="eastAsia" w:ascii="黑体" w:hAnsi="黑体" w:eastAsia="黑体" w:cs="黑体"/>
          <w:sz w:val="36"/>
          <w:szCs w:val="36"/>
        </w:rPr>
        <w:t>三、保障措施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0" w:firstLineChars="200"/>
        <w:jc w:val="both"/>
        <w:textAlignment w:val="auto"/>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加强组织领导，市级成立康复辅助器具产业发展工作专班，强化跨部门统筹和资源整合，构建政府主导、民政牵头、多方参与的工作格局。拓宽资金渠道，</w:t>
      </w:r>
      <w:r>
        <w:rPr>
          <w:rFonts w:hint="eastAsia" w:ascii="仿宋_GB2312" w:hAnsi="仿宋_GB2312" w:eastAsia="仿宋_GB2312" w:cs="仿宋_GB2312"/>
          <w:sz w:val="36"/>
          <w:szCs w:val="36"/>
          <w:lang w:eastAsia="zh-CN"/>
        </w:rPr>
        <w:t>设立康复辅具产业发展专项基金，</w:t>
      </w:r>
      <w:r>
        <w:rPr>
          <w:rFonts w:hint="eastAsia" w:ascii="仿宋_GB2312" w:hAnsi="仿宋_GB2312" w:eastAsia="仿宋_GB2312" w:cs="仿宋_GB2312"/>
          <w:sz w:val="36"/>
          <w:szCs w:val="36"/>
          <w:lang w:val="en-US" w:eastAsia="zh-CN"/>
        </w:rPr>
        <w:t>统筹各级财政及福彩公益金，倾斜网点改造、补贴、研发等重点领域，引导社会、慈善资本多元投入。深化对外协作，对接域外科研与行业平台，依托三明试点特色输出山区服务模式，借力中央对口支援、沪明对口合作等拓展区域交流，推广典型经验。</w:t>
      </w:r>
    </w:p>
    <w:p>
      <w:pPr>
        <w:spacing w:before="0" w:after="0" w:line="560" w:lineRule="exact"/>
        <w:ind w:right="628"/>
        <w:jc w:val="right"/>
      </w:pPr>
      <w:bookmarkStart w:id="0" w:name="_GoBack"/>
      <w:bookmarkEnd w:id="0"/>
    </w:p>
    <w:sectPr>
      <w:footerReference r:id="rId3" w:type="default"/>
      <w:footerReference r:id="rId4" w:type="even"/>
      <w:pgSz w:w="11906" w:h="16838"/>
      <w:pgMar w:top="1724" w:right="1531" w:bottom="1724" w:left="1531"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397"/>
      <w:ind w:right="280"/>
      <w:jc w:val="right"/>
    </w:pPr>
    <w:r>
      <w:rPr>
        <w:rFonts w:ascii="宋体" w:hAnsi="宋体" w:eastAsia="宋体" w:cs="宋体"/>
        <w:sz w:val="28"/>
        <w:szCs w:val="28"/>
      </w:rPr>
      <w:t xml:space="preserve">— </w:t>
    </w:r>
    <w:r>
      <w:rPr>
        <w:rFonts w:ascii="宋体" w:hAnsi="宋体" w:eastAsia="宋体" w:cs="宋体"/>
        <w:sz w:val="28"/>
        <w:szCs w:val="28"/>
      </w:rPr>
      <w:fldChar w:fldCharType="begin"/>
    </w:r>
    <w:r>
      <w:rPr>
        <w:rFonts w:ascii="宋体" w:hAnsi="宋体" w:eastAsia="宋体" w:cs="宋体"/>
        <w:sz w:val="28"/>
        <w:szCs w:val="28"/>
      </w:rPr>
      <w:instrText xml:space="preserve">PAGE</w:instrText>
    </w:r>
    <w:r>
      <w:rPr>
        <w:rFonts w:ascii="宋体" w:hAnsi="宋体" w:eastAsia="宋体" w:cs="宋体"/>
        <w:sz w:val="28"/>
        <w:szCs w:val="28"/>
      </w:rPr>
      <w:fldChar w:fldCharType="separate"/>
    </w:r>
    <w:r>
      <w:rPr>
        <w:rFonts w:ascii="宋体" w:hAnsi="宋体" w:eastAsia="宋体" w:cs="宋体"/>
        <w:sz w:val="28"/>
        <w:szCs w:val="28"/>
      </w:rPr>
      <w:fldChar w:fldCharType="end"/>
    </w:r>
    <w:r>
      <w:rPr>
        <w:rFonts w:ascii="宋体" w:hAnsi="宋体" w:eastAsia="宋体" w:cs="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397"/>
      <w:ind w:left="280"/>
      <w:jc w:val="left"/>
    </w:pPr>
    <w:r>
      <w:rPr>
        <w:rFonts w:ascii="宋体" w:hAnsi="宋体" w:eastAsia="宋体" w:cs="宋体"/>
        <w:sz w:val="28"/>
        <w:szCs w:val="28"/>
      </w:rPr>
      <w:t xml:space="preserve">— </w:t>
    </w:r>
    <w:r>
      <w:rPr>
        <w:rFonts w:ascii="宋体" w:hAnsi="宋体" w:eastAsia="宋体" w:cs="宋体"/>
        <w:sz w:val="28"/>
        <w:szCs w:val="28"/>
      </w:rPr>
      <w:fldChar w:fldCharType="begin"/>
    </w:r>
    <w:r>
      <w:rPr>
        <w:rFonts w:ascii="宋体" w:hAnsi="宋体" w:eastAsia="宋体" w:cs="宋体"/>
        <w:sz w:val="28"/>
        <w:szCs w:val="28"/>
      </w:rPr>
      <w:instrText xml:space="preserve">PAGE</w:instrText>
    </w:r>
    <w:r>
      <w:rPr>
        <w:rFonts w:ascii="宋体" w:hAnsi="宋体" w:eastAsia="宋体" w:cs="宋体"/>
        <w:sz w:val="28"/>
        <w:szCs w:val="28"/>
      </w:rPr>
      <w:fldChar w:fldCharType="separate"/>
    </w:r>
    <w:r>
      <w:rPr>
        <w:rFonts w:ascii="宋体" w:hAnsi="宋体" w:eastAsia="宋体" w:cs="宋体"/>
        <w:sz w:val="28"/>
        <w:szCs w:val="28"/>
      </w:rPr>
      <w:fldChar w:fldCharType="end"/>
    </w:r>
    <w:r>
      <w:rPr>
        <w:rFonts w:ascii="宋体" w:hAnsi="宋体" w:eastAsia="宋体" w:cs="宋体"/>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displayBackgroundShape w:val="true"/>
  <w:documentProtection w:enforcement="0"/>
  <w:evenAndOddHeaders w:val="true"/>
  <w:compat>
    <w:useFELayout/>
    <w:compatSetting w:name="compatibilityMode" w:uri="http://schemas.microsoft.com/office/word" w:val="15"/>
  </w:compat>
  <w:rsids>
    <w:rsidRoot w:val="00000000"/>
    <w:rsid w:val="077BB1E7"/>
    <w:rsid w:val="09F7130A"/>
    <w:rsid w:val="1D7F7646"/>
    <w:rsid w:val="1FEE533B"/>
    <w:rsid w:val="2FE5202F"/>
    <w:rsid w:val="2FF692B0"/>
    <w:rsid w:val="33FFE8CF"/>
    <w:rsid w:val="378E2D1A"/>
    <w:rsid w:val="3AD4E74C"/>
    <w:rsid w:val="3BFB95FD"/>
    <w:rsid w:val="3C6F3E13"/>
    <w:rsid w:val="3DF3D0DF"/>
    <w:rsid w:val="3E26F5EC"/>
    <w:rsid w:val="3FDF1FFF"/>
    <w:rsid w:val="47754A80"/>
    <w:rsid w:val="48F79E3B"/>
    <w:rsid w:val="4BC7B0D0"/>
    <w:rsid w:val="4D6FF0F6"/>
    <w:rsid w:val="4FBDAC76"/>
    <w:rsid w:val="4FEE97A2"/>
    <w:rsid w:val="537F2751"/>
    <w:rsid w:val="55BF32E7"/>
    <w:rsid w:val="56FE1FF3"/>
    <w:rsid w:val="57F4BA4B"/>
    <w:rsid w:val="57FC2DFA"/>
    <w:rsid w:val="57FE19FA"/>
    <w:rsid w:val="5AE74A7A"/>
    <w:rsid w:val="5B3B3FDC"/>
    <w:rsid w:val="5B7B1230"/>
    <w:rsid w:val="5BFAA32D"/>
    <w:rsid w:val="5D9DDBD5"/>
    <w:rsid w:val="5E0F393A"/>
    <w:rsid w:val="5F6F9322"/>
    <w:rsid w:val="5FFF65D1"/>
    <w:rsid w:val="623E9AED"/>
    <w:rsid w:val="65DEDD37"/>
    <w:rsid w:val="6AB9F578"/>
    <w:rsid w:val="6CF64AF2"/>
    <w:rsid w:val="6D7F2598"/>
    <w:rsid w:val="6DFF6526"/>
    <w:rsid w:val="6F7F6ADB"/>
    <w:rsid w:val="6FC7C79E"/>
    <w:rsid w:val="737D351B"/>
    <w:rsid w:val="76CBB190"/>
    <w:rsid w:val="76FDE5D6"/>
    <w:rsid w:val="77BF46E0"/>
    <w:rsid w:val="77EF9D6B"/>
    <w:rsid w:val="77FD1A65"/>
    <w:rsid w:val="78EEC303"/>
    <w:rsid w:val="793B3256"/>
    <w:rsid w:val="7B7E744F"/>
    <w:rsid w:val="7BCFAF4F"/>
    <w:rsid w:val="7BDEF749"/>
    <w:rsid w:val="7BEDF003"/>
    <w:rsid w:val="7C5DAB46"/>
    <w:rsid w:val="7CF7141D"/>
    <w:rsid w:val="7CFC1B05"/>
    <w:rsid w:val="7D5F2418"/>
    <w:rsid w:val="7D7F4961"/>
    <w:rsid w:val="7DBDC1FD"/>
    <w:rsid w:val="7DD95525"/>
    <w:rsid w:val="7DF95238"/>
    <w:rsid w:val="7E3FCB2F"/>
    <w:rsid w:val="7EBFBAED"/>
    <w:rsid w:val="7EC64CD7"/>
    <w:rsid w:val="7EFF7F95"/>
    <w:rsid w:val="7F08E453"/>
    <w:rsid w:val="7F754F66"/>
    <w:rsid w:val="7F9FF99E"/>
    <w:rsid w:val="7FC687EE"/>
    <w:rsid w:val="7FF7632E"/>
    <w:rsid w:val="7FFF3C5D"/>
    <w:rsid w:val="7FFFB2ED"/>
    <w:rsid w:val="7FFFF3C5"/>
    <w:rsid w:val="9AFF469E"/>
    <w:rsid w:val="9FE63BA5"/>
    <w:rsid w:val="A77E257E"/>
    <w:rsid w:val="A78DFC2F"/>
    <w:rsid w:val="ADBFFD67"/>
    <w:rsid w:val="B177DDD2"/>
    <w:rsid w:val="B2EFEC33"/>
    <w:rsid w:val="B757406B"/>
    <w:rsid w:val="B7E5D807"/>
    <w:rsid w:val="B7FB05E2"/>
    <w:rsid w:val="B8FBF6A8"/>
    <w:rsid w:val="BB7F90EA"/>
    <w:rsid w:val="BBDF8093"/>
    <w:rsid w:val="BEBEA2AE"/>
    <w:rsid w:val="BF59CF9D"/>
    <w:rsid w:val="BFDB7DE8"/>
    <w:rsid w:val="CAD8C727"/>
    <w:rsid w:val="CDF789D6"/>
    <w:rsid w:val="CDF8C979"/>
    <w:rsid w:val="CFDCA4DB"/>
    <w:rsid w:val="D5FF0BED"/>
    <w:rsid w:val="D7AF90BD"/>
    <w:rsid w:val="D7BF80FC"/>
    <w:rsid w:val="D7FF8200"/>
    <w:rsid w:val="DAFB767E"/>
    <w:rsid w:val="DB676E55"/>
    <w:rsid w:val="DBBEA3CA"/>
    <w:rsid w:val="DCFE7294"/>
    <w:rsid w:val="DDEB52BA"/>
    <w:rsid w:val="DE3F840E"/>
    <w:rsid w:val="DECBBFB2"/>
    <w:rsid w:val="DEFB69DF"/>
    <w:rsid w:val="DF6F72BB"/>
    <w:rsid w:val="DFBF7F07"/>
    <w:rsid w:val="DFEC06DE"/>
    <w:rsid w:val="DFFF0025"/>
    <w:rsid w:val="DFFF0468"/>
    <w:rsid w:val="E33E9E26"/>
    <w:rsid w:val="E5DE7991"/>
    <w:rsid w:val="E7FF151C"/>
    <w:rsid w:val="E9BFB591"/>
    <w:rsid w:val="EBFF0047"/>
    <w:rsid w:val="EDCBAB09"/>
    <w:rsid w:val="EDFB0D6A"/>
    <w:rsid w:val="EEAEB464"/>
    <w:rsid w:val="EEFD35AC"/>
    <w:rsid w:val="EF3C51CC"/>
    <w:rsid w:val="EFDF2B09"/>
    <w:rsid w:val="EFF79055"/>
    <w:rsid w:val="EFFF8998"/>
    <w:rsid w:val="F3BF9E3F"/>
    <w:rsid w:val="F3FE34A2"/>
    <w:rsid w:val="F4E7821B"/>
    <w:rsid w:val="F6DAA9D9"/>
    <w:rsid w:val="F755F300"/>
    <w:rsid w:val="F7D599B6"/>
    <w:rsid w:val="F7F3F088"/>
    <w:rsid w:val="F7FAADAC"/>
    <w:rsid w:val="FAEA5EC9"/>
    <w:rsid w:val="FBBBA34C"/>
    <w:rsid w:val="FBBF0E49"/>
    <w:rsid w:val="FBEB60F9"/>
    <w:rsid w:val="FBED9132"/>
    <w:rsid w:val="FBFC9D8F"/>
    <w:rsid w:val="FBFE0BE3"/>
    <w:rsid w:val="FBFF4A1E"/>
    <w:rsid w:val="FCF88685"/>
    <w:rsid w:val="FCFD1F9A"/>
    <w:rsid w:val="FDD33425"/>
    <w:rsid w:val="FDDE2A2A"/>
    <w:rsid w:val="FDF78B80"/>
    <w:rsid w:val="FE3C2494"/>
    <w:rsid w:val="FE56A2B8"/>
    <w:rsid w:val="FE77D07C"/>
    <w:rsid w:val="FE7F0E62"/>
    <w:rsid w:val="FEBF5147"/>
    <w:rsid w:val="FEECD311"/>
    <w:rsid w:val="FF36DBBD"/>
    <w:rsid w:val="FF5DB905"/>
    <w:rsid w:val="FF7F4BB5"/>
    <w:rsid w:val="FF8DD3D3"/>
    <w:rsid w:val="FFA50726"/>
    <w:rsid w:val="FFBFFDCD"/>
    <w:rsid w:val="FFDF407B"/>
    <w:rsid w:val="FFEF8C3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next w:val="1"/>
    <w:qFormat/>
    <w:uiPriority w:val="0"/>
    <w:rPr>
      <w:rFonts w:asciiTheme="minorHAnsi" w:hAnsiTheme="minorHAnsi" w:eastAsiaTheme="minorEastAsia" w:cstheme="minorBidi"/>
      <w:color w:val="2E74B5"/>
      <w:sz w:val="32"/>
      <w:szCs w:val="32"/>
    </w:rPr>
  </w:style>
  <w:style w:type="paragraph" w:styleId="3">
    <w:name w:val="heading 2"/>
    <w:next w:val="1"/>
    <w:qFormat/>
    <w:uiPriority w:val="0"/>
    <w:rPr>
      <w:rFonts w:asciiTheme="minorHAnsi" w:hAnsiTheme="minorHAnsi" w:eastAsiaTheme="minorEastAsia" w:cstheme="minorBidi"/>
      <w:color w:val="2E74B5"/>
      <w:sz w:val="26"/>
      <w:szCs w:val="26"/>
    </w:rPr>
  </w:style>
  <w:style w:type="paragraph" w:styleId="4">
    <w:name w:val="heading 3"/>
    <w:next w:val="1"/>
    <w:qFormat/>
    <w:uiPriority w:val="0"/>
    <w:rPr>
      <w:rFonts w:asciiTheme="minorHAnsi" w:hAnsiTheme="minorHAnsi" w:eastAsiaTheme="minorEastAsia" w:cstheme="minorBidi"/>
      <w:color w:val="1F4D78"/>
      <w:sz w:val="24"/>
      <w:szCs w:val="24"/>
    </w:rPr>
  </w:style>
  <w:style w:type="paragraph" w:styleId="5">
    <w:name w:val="heading 4"/>
    <w:next w:val="1"/>
    <w:qFormat/>
    <w:uiPriority w:val="0"/>
    <w:rPr>
      <w:rFonts w:asciiTheme="minorHAnsi" w:hAnsiTheme="minorHAnsi" w:eastAsiaTheme="minorEastAsia" w:cstheme="minorBidi"/>
      <w:i/>
      <w:iCs/>
      <w:color w:val="2E74B5"/>
      <w:sz w:val="21"/>
      <w:szCs w:val="22"/>
    </w:rPr>
  </w:style>
  <w:style w:type="paragraph" w:styleId="6">
    <w:name w:val="heading 5"/>
    <w:next w:val="1"/>
    <w:qFormat/>
    <w:uiPriority w:val="0"/>
    <w:rPr>
      <w:rFonts w:asciiTheme="minorHAnsi" w:hAnsiTheme="minorHAnsi" w:eastAsiaTheme="minorEastAsia" w:cstheme="minorBidi"/>
      <w:color w:val="2E74B5"/>
      <w:sz w:val="21"/>
      <w:szCs w:val="22"/>
    </w:rPr>
  </w:style>
  <w:style w:type="paragraph" w:styleId="7">
    <w:name w:val="heading 6"/>
    <w:next w:val="1"/>
    <w:qFormat/>
    <w:uiPriority w:val="0"/>
    <w:rPr>
      <w:rFonts w:asciiTheme="minorHAnsi" w:hAnsiTheme="minorHAnsi" w:eastAsiaTheme="minorEastAsia" w:cstheme="minorBidi"/>
      <w:color w:val="1F4D78"/>
      <w:sz w:val="21"/>
      <w:szCs w:val="22"/>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8">
    <w:name w:val="endnote text"/>
    <w:link w:val="20"/>
    <w:semiHidden/>
    <w:unhideWhenUsed/>
    <w:qFormat/>
    <w:uiPriority w:val="99"/>
    <w:pPr>
      <w:spacing w:after="0" w:line="240" w:lineRule="auto"/>
    </w:pPr>
    <w:rPr>
      <w:rFonts w:asciiTheme="minorHAnsi" w:hAnsiTheme="minorHAnsi" w:eastAsiaTheme="minorEastAsia" w:cstheme="minorBidi"/>
      <w:sz w:val="20"/>
      <w:szCs w:val="20"/>
    </w:rPr>
  </w:style>
  <w:style w:type="paragraph" w:styleId="9">
    <w:name w:val="footer"/>
    <w:basedOn w:val="1"/>
    <w:next w:val="1"/>
    <w:qFormat/>
    <w:uiPriority w:val="0"/>
    <w:pPr>
      <w:tabs>
        <w:tab w:val="center" w:pos="4153"/>
        <w:tab w:val="right" w:pos="8306"/>
      </w:tabs>
      <w:snapToGrid w:val="0"/>
      <w:jc w:val="left"/>
    </w:pPr>
    <w:rPr>
      <w:sz w:val="18"/>
      <w:szCs w:val="18"/>
    </w:rPr>
  </w:style>
  <w:style w:type="paragraph" w:styleId="10">
    <w:name w:val="footnote text"/>
    <w:link w:val="19"/>
    <w:semiHidden/>
    <w:unhideWhenUsed/>
    <w:qFormat/>
    <w:uiPriority w:val="99"/>
    <w:pPr>
      <w:spacing w:after="0" w:line="240" w:lineRule="auto"/>
    </w:pPr>
    <w:rPr>
      <w:rFonts w:asciiTheme="minorHAnsi" w:hAnsiTheme="minorHAnsi" w:eastAsiaTheme="minorEastAsia" w:cstheme="minorBidi"/>
      <w:sz w:val="20"/>
      <w:szCs w:val="20"/>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Title"/>
    <w:qFormat/>
    <w:uiPriority w:val="0"/>
    <w:rPr>
      <w:rFonts w:asciiTheme="minorHAnsi" w:hAnsiTheme="minorHAnsi" w:eastAsiaTheme="minorEastAsia" w:cstheme="minorBidi"/>
      <w:sz w:val="56"/>
      <w:szCs w:val="56"/>
    </w:rPr>
  </w:style>
  <w:style w:type="character" w:styleId="15">
    <w:name w:val="endnote reference"/>
    <w:semiHidden/>
    <w:unhideWhenUsed/>
    <w:qFormat/>
    <w:uiPriority w:val="99"/>
    <w:rPr>
      <w:vertAlign w:val="superscript"/>
    </w:rPr>
  </w:style>
  <w:style w:type="character" w:styleId="16">
    <w:name w:val="Hyperlink"/>
    <w:unhideWhenUsed/>
    <w:qFormat/>
    <w:uiPriority w:val="99"/>
    <w:rPr>
      <w:color w:val="0563C1"/>
      <w:u w:val="single"/>
    </w:rPr>
  </w:style>
  <w:style w:type="character" w:styleId="17">
    <w:name w:val="footnote reference"/>
    <w:semiHidden/>
    <w:unhideWhenUsed/>
    <w:qFormat/>
    <w:uiPriority w:val="99"/>
    <w:rPr>
      <w:vertAlign w:val="superscript"/>
    </w:rPr>
  </w:style>
  <w:style w:type="paragraph" w:styleId="18">
    <w:name w:val="List Paragraph"/>
    <w:qFormat/>
    <w:uiPriority w:val="0"/>
    <w:rPr>
      <w:rFonts w:asciiTheme="minorHAnsi" w:hAnsiTheme="minorHAnsi" w:eastAsiaTheme="minorEastAsia" w:cstheme="minorBidi"/>
      <w:sz w:val="21"/>
      <w:szCs w:val="22"/>
    </w:rPr>
  </w:style>
  <w:style w:type="character" w:customStyle="1" w:styleId="19">
    <w:name w:val="Footnote Text Char"/>
    <w:link w:val="10"/>
    <w:semiHidden/>
    <w:unhideWhenUsed/>
    <w:qFormat/>
    <w:uiPriority w:val="99"/>
    <w:rPr>
      <w:sz w:val="20"/>
      <w:szCs w:val="20"/>
    </w:rPr>
  </w:style>
  <w:style w:type="character" w:customStyle="1" w:styleId="20">
    <w:name w:val="Endnote Text Char"/>
    <w:link w:val="8"/>
    <w:semiHidden/>
    <w:unhideWhenUsed/>
    <w:qFormat/>
    <w:uiPriority w:val="99"/>
    <w:rPr>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TotalTime>9</TotalTime>
  <ScaleCrop>false</ScaleCrop>
  <LinksUpToDate>false</LinksUpToDate>
  <Application>WPS Office_11.8.2.10458_F1E327BC-269C-435d-A152-05C5408002CA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2026-08-09T23:16:00Z</dcterms:created>
  <dc:creator>Un-named</dc:creator>
  <cp:lastModifiedBy>市政府办经济一科</cp:lastModifiedBy>
  <cp:lastPrinted>2026-08-11T02:07:00Z</cp:lastPrinted>
  <dcterms:modified xsi:type="dcterms:W3CDTF">2026-08-10T11:21:37Z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AF4C742885B291301A8E756A3B161D99_43</vt:lpwstr>
  </property>
</Properties>
</file>